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B745E1">
        <w:rPr>
          <w:rFonts w:ascii="Calibri" w:hAnsi="Calibri" w:cs="Calibri"/>
          <w:sz w:val="20"/>
          <w:szCs w:val="20"/>
          <w:lang w:val="en-US"/>
        </w:rPr>
        <w:t>9110/2014/SSZ-UE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3553FF" w:rsidRPr="002537C6" w:rsidRDefault="002537C6" w:rsidP="00AC3304">
      <w:pPr>
        <w:jc w:val="center"/>
        <w:rPr>
          <w:rFonts w:ascii="Calibri" w:hAnsi="Calibri" w:cs="Calibri"/>
          <w:b/>
          <w:sz w:val="44"/>
          <w:szCs w:val="44"/>
        </w:rPr>
      </w:pPr>
      <w:proofErr w:type="spellStart"/>
      <w:r w:rsidRPr="002537C6">
        <w:rPr>
          <w:rFonts w:ascii="Calibri" w:hAnsi="Calibri" w:cs="Calibri"/>
          <w:b/>
          <w:sz w:val="44"/>
          <w:szCs w:val="44"/>
        </w:rPr>
        <w:t>Peronizace</w:t>
      </w:r>
      <w:proofErr w:type="spellEnd"/>
      <w:r w:rsidRPr="002537C6">
        <w:rPr>
          <w:rFonts w:ascii="Calibri" w:hAnsi="Calibri" w:cs="Calibri"/>
          <w:b/>
          <w:sz w:val="44"/>
          <w:szCs w:val="44"/>
        </w:rPr>
        <w:t xml:space="preserve"> ŽST Chodov</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66FD8F9C" wp14:editId="287B414B">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79787194"/>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AB5085"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79787194" w:history="1">
        <w:r w:rsidR="00AB5085" w:rsidRPr="008D40D3">
          <w:rPr>
            <w:rStyle w:val="Hypertextovodkaz"/>
            <w:rFonts w:ascii="Calibri" w:hAnsi="Calibri" w:cs="Calibri"/>
            <w:noProof/>
          </w:rPr>
          <w:t>OBSAH</w:t>
        </w:r>
        <w:r w:rsidR="00AB5085">
          <w:rPr>
            <w:noProof/>
            <w:webHidden/>
          </w:rPr>
          <w:tab/>
        </w:r>
        <w:r w:rsidR="00AB5085">
          <w:rPr>
            <w:noProof/>
            <w:webHidden/>
          </w:rPr>
          <w:fldChar w:fldCharType="begin"/>
        </w:r>
        <w:r w:rsidR="00AB5085">
          <w:rPr>
            <w:noProof/>
            <w:webHidden/>
          </w:rPr>
          <w:instrText xml:space="preserve"> PAGEREF _Toc379787194 \h </w:instrText>
        </w:r>
        <w:r w:rsidR="00AB5085">
          <w:rPr>
            <w:noProof/>
            <w:webHidden/>
          </w:rPr>
        </w:r>
        <w:r w:rsidR="00AB5085">
          <w:rPr>
            <w:noProof/>
            <w:webHidden/>
          </w:rPr>
          <w:fldChar w:fldCharType="separate"/>
        </w:r>
        <w:r w:rsidR="00AB5085">
          <w:rPr>
            <w:noProof/>
            <w:webHidden/>
          </w:rPr>
          <w:t>2</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5" w:history="1">
        <w:r w:rsidR="00AB5085" w:rsidRPr="008D40D3">
          <w:rPr>
            <w:rStyle w:val="Hypertextovodkaz"/>
            <w:rFonts w:ascii="Calibri" w:hAnsi="Calibri" w:cs="Calibri"/>
            <w:noProof/>
            <w:kern w:val="28"/>
          </w:rPr>
          <w:t>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ÚVODNÍ USTANOVENÍ</w:t>
        </w:r>
        <w:r w:rsidR="00AB5085">
          <w:rPr>
            <w:noProof/>
            <w:webHidden/>
          </w:rPr>
          <w:tab/>
        </w:r>
        <w:r w:rsidR="00AB5085">
          <w:rPr>
            <w:noProof/>
            <w:webHidden/>
          </w:rPr>
          <w:fldChar w:fldCharType="begin"/>
        </w:r>
        <w:r w:rsidR="00AB5085">
          <w:rPr>
            <w:noProof/>
            <w:webHidden/>
          </w:rPr>
          <w:instrText xml:space="preserve"> PAGEREF _Toc379787195 \h </w:instrText>
        </w:r>
        <w:r w:rsidR="00AB5085">
          <w:rPr>
            <w:noProof/>
            <w:webHidden/>
          </w:rPr>
        </w:r>
        <w:r w:rsidR="00AB5085">
          <w:rPr>
            <w:noProof/>
            <w:webHidden/>
          </w:rPr>
          <w:fldChar w:fldCharType="separate"/>
        </w:r>
        <w:r w:rsidR="00AB5085">
          <w:rPr>
            <w:noProof/>
            <w:webHidden/>
          </w:rPr>
          <w:t>3</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6" w:history="1">
        <w:r w:rsidR="00AB5085" w:rsidRPr="008D40D3">
          <w:rPr>
            <w:rStyle w:val="Hypertextovodkaz"/>
            <w:rFonts w:ascii="Calibri" w:hAnsi="Calibri" w:cs="Calibri"/>
            <w:noProof/>
          </w:rPr>
          <w:t>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Identifikační údaje zadavatele</w:t>
        </w:r>
        <w:r w:rsidR="00AB5085">
          <w:rPr>
            <w:noProof/>
            <w:webHidden/>
          </w:rPr>
          <w:tab/>
        </w:r>
        <w:r w:rsidR="00AB5085">
          <w:rPr>
            <w:noProof/>
            <w:webHidden/>
          </w:rPr>
          <w:fldChar w:fldCharType="begin"/>
        </w:r>
        <w:r w:rsidR="00AB5085">
          <w:rPr>
            <w:noProof/>
            <w:webHidden/>
          </w:rPr>
          <w:instrText xml:space="preserve"> PAGEREF _Toc379787196 \h </w:instrText>
        </w:r>
        <w:r w:rsidR="00AB5085">
          <w:rPr>
            <w:noProof/>
            <w:webHidden/>
          </w:rPr>
        </w:r>
        <w:r w:rsidR="00AB5085">
          <w:rPr>
            <w:noProof/>
            <w:webHidden/>
          </w:rPr>
          <w:fldChar w:fldCharType="separate"/>
        </w:r>
        <w:r w:rsidR="00AB5085">
          <w:rPr>
            <w:noProof/>
            <w:webHidden/>
          </w:rPr>
          <w:t>3</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7" w:history="1">
        <w:r w:rsidR="00AB5085" w:rsidRPr="008D40D3">
          <w:rPr>
            <w:rStyle w:val="Hypertextovodkaz"/>
            <w:rFonts w:ascii="Calibri" w:hAnsi="Calibri" w:cs="Calibri"/>
            <w:noProof/>
            <w:kern w:val="28"/>
          </w:rPr>
          <w:t>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Kontaktní údaje pro 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_Toc379787197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8" w:history="1">
        <w:r w:rsidR="00AB5085" w:rsidRPr="008D40D3">
          <w:rPr>
            <w:rStyle w:val="Hypertextovodkaz"/>
            <w:rFonts w:ascii="Calibri" w:hAnsi="Calibri" w:cs="Calibri"/>
            <w:noProof/>
            <w:kern w:val="28"/>
          </w:rPr>
          <w:t>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ÚČEL A PŘEDMĚT PLNĚNÍ VEŘEJNÉ ZAKÁZKY</w:t>
        </w:r>
        <w:r w:rsidR="00AB5085">
          <w:rPr>
            <w:noProof/>
            <w:webHidden/>
          </w:rPr>
          <w:tab/>
        </w:r>
        <w:r w:rsidR="00AB5085">
          <w:rPr>
            <w:noProof/>
            <w:webHidden/>
          </w:rPr>
          <w:fldChar w:fldCharType="begin"/>
        </w:r>
        <w:r w:rsidR="00AB5085">
          <w:rPr>
            <w:noProof/>
            <w:webHidden/>
          </w:rPr>
          <w:instrText xml:space="preserve"> PAGEREF _Toc379787198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199" w:history="1">
        <w:r w:rsidR="00AB5085" w:rsidRPr="008D40D3">
          <w:rPr>
            <w:rStyle w:val="Hypertextovodkaz"/>
            <w:rFonts w:ascii="Calibri" w:hAnsi="Calibri" w:cs="Calibri"/>
            <w:noProof/>
            <w:kern w:val="28"/>
          </w:rPr>
          <w:t>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ZDROJE FINANCOVÁNÍ</w:t>
        </w:r>
        <w:r w:rsidR="00AB5085">
          <w:rPr>
            <w:noProof/>
            <w:webHidden/>
          </w:rPr>
          <w:tab/>
        </w:r>
        <w:r w:rsidR="00AB5085">
          <w:rPr>
            <w:noProof/>
            <w:webHidden/>
          </w:rPr>
          <w:fldChar w:fldCharType="begin"/>
        </w:r>
        <w:r w:rsidR="00AB5085">
          <w:rPr>
            <w:noProof/>
            <w:webHidden/>
          </w:rPr>
          <w:instrText xml:space="preserve"> PAGEREF _Toc379787199 \h </w:instrText>
        </w:r>
        <w:r w:rsidR="00AB5085">
          <w:rPr>
            <w:noProof/>
            <w:webHidden/>
          </w:rPr>
        </w:r>
        <w:r w:rsidR="00AB5085">
          <w:rPr>
            <w:noProof/>
            <w:webHidden/>
          </w:rPr>
          <w:fldChar w:fldCharType="separate"/>
        </w:r>
        <w:r w:rsidR="00AB5085">
          <w:rPr>
            <w:noProof/>
            <w:webHidden/>
          </w:rPr>
          <w:t>4</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0" w:history="1">
        <w:r w:rsidR="00AB5085" w:rsidRPr="008D40D3">
          <w:rPr>
            <w:rStyle w:val="Hypertextovodkaz"/>
            <w:rFonts w:ascii="Calibri" w:hAnsi="Calibri" w:cs="Calibri"/>
            <w:noProof/>
            <w:kern w:val="28"/>
          </w:rPr>
          <w:t>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DODATEČNÉ INFORMACE K ZADÁVACÍM PODMÍNKÁM</w:t>
        </w:r>
        <w:r w:rsidR="00AB5085">
          <w:rPr>
            <w:noProof/>
            <w:webHidden/>
          </w:rPr>
          <w:tab/>
        </w:r>
        <w:r w:rsidR="00AB5085">
          <w:rPr>
            <w:noProof/>
            <w:webHidden/>
          </w:rPr>
          <w:fldChar w:fldCharType="begin"/>
        </w:r>
        <w:r w:rsidR="00AB5085">
          <w:rPr>
            <w:noProof/>
            <w:webHidden/>
          </w:rPr>
          <w:instrText xml:space="preserve"> PAGEREF _Toc379787200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1" w:history="1">
        <w:r w:rsidR="00AB5085" w:rsidRPr="008D40D3">
          <w:rPr>
            <w:rStyle w:val="Hypertextovodkaz"/>
            <w:rFonts w:ascii="Calibri" w:hAnsi="Calibri" w:cs="Calibri"/>
            <w:noProof/>
            <w:kern w:val="28"/>
          </w:rPr>
          <w:t>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ZMĚNY ZADÁVACÍCH PODMÍNEK</w:t>
        </w:r>
        <w:r w:rsidR="00AB5085">
          <w:rPr>
            <w:noProof/>
            <w:webHidden/>
          </w:rPr>
          <w:tab/>
        </w:r>
        <w:r w:rsidR="00AB5085">
          <w:rPr>
            <w:noProof/>
            <w:webHidden/>
          </w:rPr>
          <w:fldChar w:fldCharType="begin"/>
        </w:r>
        <w:r w:rsidR="00AB5085">
          <w:rPr>
            <w:noProof/>
            <w:webHidden/>
          </w:rPr>
          <w:instrText xml:space="preserve"> PAGEREF _Toc379787201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2" w:history="1">
        <w:r w:rsidR="00AB5085" w:rsidRPr="008D40D3">
          <w:rPr>
            <w:rStyle w:val="Hypertextovodkaz"/>
            <w:rFonts w:ascii="Calibri" w:hAnsi="Calibri" w:cs="Calibri"/>
            <w:noProof/>
            <w:kern w:val="28"/>
          </w:rPr>
          <w:t>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ZADÁVACÍ DOKUMENTACE</w:t>
        </w:r>
        <w:r w:rsidR="00AB5085">
          <w:rPr>
            <w:noProof/>
            <w:webHidden/>
          </w:rPr>
          <w:tab/>
        </w:r>
        <w:r w:rsidR="00AB5085">
          <w:rPr>
            <w:noProof/>
            <w:webHidden/>
          </w:rPr>
          <w:fldChar w:fldCharType="begin"/>
        </w:r>
        <w:r w:rsidR="00AB5085">
          <w:rPr>
            <w:noProof/>
            <w:webHidden/>
          </w:rPr>
          <w:instrText xml:space="preserve"> PAGEREF _Toc379787202 \h </w:instrText>
        </w:r>
        <w:r w:rsidR="00AB5085">
          <w:rPr>
            <w:noProof/>
            <w:webHidden/>
          </w:rPr>
        </w:r>
        <w:r w:rsidR="00AB5085">
          <w:rPr>
            <w:noProof/>
            <w:webHidden/>
          </w:rPr>
          <w:fldChar w:fldCharType="separate"/>
        </w:r>
        <w:r w:rsidR="00AB5085">
          <w:rPr>
            <w:noProof/>
            <w:webHidden/>
          </w:rPr>
          <w:t>5</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3" w:history="1">
        <w:r w:rsidR="00AB5085" w:rsidRPr="008D40D3">
          <w:rPr>
            <w:rStyle w:val="Hypertextovodkaz"/>
            <w:rFonts w:ascii="Calibri" w:hAnsi="Calibri" w:cs="Calibri"/>
            <w:noProof/>
            <w:kern w:val="28"/>
          </w:rPr>
          <w:t>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ZADAVATELE NA KVALIFIKACI</w:t>
        </w:r>
        <w:r w:rsidR="00AB5085">
          <w:rPr>
            <w:noProof/>
            <w:webHidden/>
          </w:rPr>
          <w:tab/>
        </w:r>
        <w:r w:rsidR="00AB5085">
          <w:rPr>
            <w:noProof/>
            <w:webHidden/>
          </w:rPr>
          <w:fldChar w:fldCharType="begin"/>
        </w:r>
        <w:r w:rsidR="00AB5085">
          <w:rPr>
            <w:noProof/>
            <w:webHidden/>
          </w:rPr>
          <w:instrText xml:space="preserve"> PAGEREF _Toc379787203 \h </w:instrText>
        </w:r>
        <w:r w:rsidR="00AB5085">
          <w:rPr>
            <w:noProof/>
            <w:webHidden/>
          </w:rPr>
        </w:r>
        <w:r w:rsidR="00AB5085">
          <w:rPr>
            <w:noProof/>
            <w:webHidden/>
          </w:rPr>
          <w:fldChar w:fldCharType="separate"/>
        </w:r>
        <w:r w:rsidR="00AB5085">
          <w:rPr>
            <w:noProof/>
            <w:webHidden/>
          </w:rPr>
          <w:t>6</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4" w:history="1">
        <w:r w:rsidR="00AB5085" w:rsidRPr="008D40D3">
          <w:rPr>
            <w:rStyle w:val="Hypertextovodkaz"/>
            <w:rFonts w:ascii="Calibri" w:hAnsi="Calibri" w:cs="Calibri"/>
            <w:noProof/>
            <w:kern w:val="28"/>
          </w:rPr>
          <w:t>10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DALŠÍ INFORMACE/DOKUMENTY PŘEDKLÁDANÉ DODAVATELEM</w:t>
        </w:r>
        <w:r w:rsidR="00AB5085">
          <w:rPr>
            <w:noProof/>
            <w:webHidden/>
          </w:rPr>
          <w:tab/>
        </w:r>
        <w:r w:rsidR="00AB5085">
          <w:rPr>
            <w:noProof/>
            <w:webHidden/>
          </w:rPr>
          <w:fldChar w:fldCharType="begin"/>
        </w:r>
        <w:r w:rsidR="00AB5085">
          <w:rPr>
            <w:noProof/>
            <w:webHidden/>
          </w:rPr>
          <w:instrText xml:space="preserve"> PAGEREF _Toc379787204 \h </w:instrText>
        </w:r>
        <w:r w:rsidR="00AB5085">
          <w:rPr>
            <w:noProof/>
            <w:webHidden/>
          </w:rPr>
        </w:r>
        <w:r w:rsidR="00AB5085">
          <w:rPr>
            <w:noProof/>
            <w:webHidden/>
          </w:rPr>
          <w:fldChar w:fldCharType="separate"/>
        </w:r>
        <w:r w:rsidR="00AB5085">
          <w:rPr>
            <w:noProof/>
            <w:webHidden/>
          </w:rPr>
          <w:t>14</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5" w:history="1">
        <w:r w:rsidR="00AB5085" w:rsidRPr="008D40D3">
          <w:rPr>
            <w:rStyle w:val="Hypertextovodkaz"/>
            <w:rFonts w:ascii="Calibri" w:hAnsi="Calibri" w:cs="Calibri"/>
            <w:noProof/>
            <w:kern w:val="28"/>
          </w:rPr>
          <w:t>11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PROHLÍDKA MÍSTA PLNĚNÍ STAVBY (STAVENIŠTĚ)</w:t>
        </w:r>
        <w:r w:rsidR="00AB5085">
          <w:rPr>
            <w:noProof/>
            <w:webHidden/>
          </w:rPr>
          <w:tab/>
        </w:r>
        <w:r w:rsidR="00AB5085">
          <w:rPr>
            <w:noProof/>
            <w:webHidden/>
          </w:rPr>
          <w:fldChar w:fldCharType="begin"/>
        </w:r>
        <w:r w:rsidR="00AB5085">
          <w:rPr>
            <w:noProof/>
            <w:webHidden/>
          </w:rPr>
          <w:instrText xml:space="preserve"> PAGEREF _Toc379787205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6" w:history="1">
        <w:r w:rsidR="00AB5085" w:rsidRPr="008D40D3">
          <w:rPr>
            <w:rStyle w:val="Hypertextovodkaz"/>
            <w:rFonts w:ascii="Calibri" w:hAnsi="Calibri" w:cs="Calibri"/>
            <w:noProof/>
            <w:kern w:val="28"/>
          </w:rPr>
          <w:t>12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JAZYK NABÍDEK</w:t>
        </w:r>
        <w:r w:rsidR="00AB5085">
          <w:rPr>
            <w:noProof/>
            <w:webHidden/>
          </w:rPr>
          <w:tab/>
        </w:r>
        <w:r w:rsidR="00AB5085">
          <w:rPr>
            <w:noProof/>
            <w:webHidden/>
          </w:rPr>
          <w:fldChar w:fldCharType="begin"/>
        </w:r>
        <w:r w:rsidR="00AB5085">
          <w:rPr>
            <w:noProof/>
            <w:webHidden/>
          </w:rPr>
          <w:instrText xml:space="preserve"> PAGEREF _Toc379787206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7" w:history="1">
        <w:r w:rsidR="00AB5085" w:rsidRPr="008D40D3">
          <w:rPr>
            <w:rStyle w:val="Hypertextovodkaz"/>
            <w:rFonts w:ascii="Calibri" w:hAnsi="Calibri" w:cs="Calibri"/>
            <w:noProof/>
            <w:kern w:val="28"/>
          </w:rPr>
          <w:t>13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OBSAH A PODÁVÁNÍ NABÍDEK</w:t>
        </w:r>
        <w:r w:rsidR="00AB5085">
          <w:rPr>
            <w:noProof/>
            <w:webHidden/>
          </w:rPr>
          <w:tab/>
        </w:r>
        <w:r w:rsidR="00AB5085">
          <w:rPr>
            <w:noProof/>
            <w:webHidden/>
          </w:rPr>
          <w:fldChar w:fldCharType="begin"/>
        </w:r>
        <w:r w:rsidR="00AB5085">
          <w:rPr>
            <w:noProof/>
            <w:webHidden/>
          </w:rPr>
          <w:instrText xml:space="preserve"> PAGEREF _Toc379787207 \h </w:instrText>
        </w:r>
        <w:r w:rsidR="00AB5085">
          <w:rPr>
            <w:noProof/>
            <w:webHidden/>
          </w:rPr>
        </w:r>
        <w:r w:rsidR="00AB5085">
          <w:rPr>
            <w:noProof/>
            <w:webHidden/>
          </w:rPr>
          <w:fldChar w:fldCharType="separate"/>
        </w:r>
        <w:r w:rsidR="00AB5085">
          <w:rPr>
            <w:noProof/>
            <w:webHidden/>
          </w:rPr>
          <w:t>17</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8" w:history="1">
        <w:r w:rsidR="00AB5085" w:rsidRPr="008D40D3">
          <w:rPr>
            <w:rStyle w:val="Hypertextovodkaz"/>
            <w:rFonts w:ascii="Calibri" w:hAnsi="Calibri" w:cs="Calibri"/>
            <w:noProof/>
            <w:kern w:val="28"/>
          </w:rPr>
          <w:t>14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POŽADAVKY NA ZPRACOVÁNÍ NABÍDKOVÉ CENY</w:t>
        </w:r>
        <w:r w:rsidR="00AB5085">
          <w:rPr>
            <w:noProof/>
            <w:webHidden/>
          </w:rPr>
          <w:tab/>
        </w:r>
        <w:r w:rsidR="00AB5085">
          <w:rPr>
            <w:noProof/>
            <w:webHidden/>
          </w:rPr>
          <w:fldChar w:fldCharType="begin"/>
        </w:r>
        <w:r w:rsidR="00AB5085">
          <w:rPr>
            <w:noProof/>
            <w:webHidden/>
          </w:rPr>
          <w:instrText xml:space="preserve"> PAGEREF _Toc379787208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09" w:history="1">
        <w:r w:rsidR="00AB5085" w:rsidRPr="008D40D3">
          <w:rPr>
            <w:rStyle w:val="Hypertextovodkaz"/>
            <w:rFonts w:ascii="Calibri" w:hAnsi="Calibri" w:cs="Calibri"/>
            <w:noProof/>
            <w:kern w:val="28"/>
          </w:rPr>
          <w:t>15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DOBA PLATNOSTI NABÍDEK - ZADÁVACÍ LHŮTA</w:t>
        </w:r>
        <w:r w:rsidR="00AB5085">
          <w:rPr>
            <w:noProof/>
            <w:webHidden/>
          </w:rPr>
          <w:tab/>
        </w:r>
        <w:r w:rsidR="00AB5085">
          <w:rPr>
            <w:noProof/>
            <w:webHidden/>
          </w:rPr>
          <w:fldChar w:fldCharType="begin"/>
        </w:r>
        <w:r w:rsidR="00AB5085">
          <w:rPr>
            <w:noProof/>
            <w:webHidden/>
          </w:rPr>
          <w:instrText xml:space="preserve"> PAGEREF _Toc379787209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0" w:history="1">
        <w:r w:rsidR="00AB5085" w:rsidRPr="008D40D3">
          <w:rPr>
            <w:rStyle w:val="Hypertextovodkaz"/>
            <w:rFonts w:ascii="Calibri" w:hAnsi="Calibri" w:cs="Calibri"/>
            <w:noProof/>
            <w:kern w:val="28"/>
          </w:rPr>
          <w:t>16</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JISTOTA</w:t>
        </w:r>
        <w:r w:rsidR="00AB5085">
          <w:rPr>
            <w:noProof/>
            <w:webHidden/>
          </w:rPr>
          <w:tab/>
        </w:r>
        <w:r w:rsidR="00AB5085">
          <w:rPr>
            <w:noProof/>
            <w:webHidden/>
          </w:rPr>
          <w:fldChar w:fldCharType="begin"/>
        </w:r>
        <w:r w:rsidR="00AB5085">
          <w:rPr>
            <w:noProof/>
            <w:webHidden/>
          </w:rPr>
          <w:instrText xml:space="preserve"> PAGEREF _Toc379787210 \h </w:instrText>
        </w:r>
        <w:r w:rsidR="00AB5085">
          <w:rPr>
            <w:noProof/>
            <w:webHidden/>
          </w:rPr>
        </w:r>
        <w:r w:rsidR="00AB5085">
          <w:rPr>
            <w:noProof/>
            <w:webHidden/>
          </w:rPr>
          <w:fldChar w:fldCharType="separate"/>
        </w:r>
        <w:r w:rsidR="00AB5085">
          <w:rPr>
            <w:noProof/>
            <w:webHidden/>
          </w:rPr>
          <w:t>19</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1" w:history="1">
        <w:r w:rsidR="00AB5085" w:rsidRPr="008D40D3">
          <w:rPr>
            <w:rStyle w:val="Hypertextovodkaz"/>
            <w:rFonts w:ascii="Calibri" w:hAnsi="Calibri" w:cs="Calibri"/>
            <w:noProof/>
            <w:kern w:val="28"/>
          </w:rPr>
          <w:t>17</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VARIANTY NABÍDKY</w:t>
        </w:r>
        <w:r w:rsidR="00AB5085">
          <w:rPr>
            <w:noProof/>
            <w:webHidden/>
          </w:rPr>
          <w:tab/>
        </w:r>
        <w:r w:rsidR="00AB5085">
          <w:rPr>
            <w:noProof/>
            <w:webHidden/>
          </w:rPr>
          <w:fldChar w:fldCharType="begin"/>
        </w:r>
        <w:r w:rsidR="00AB5085">
          <w:rPr>
            <w:noProof/>
            <w:webHidden/>
          </w:rPr>
          <w:instrText xml:space="preserve"> PAGEREF _Toc379787211 \h </w:instrText>
        </w:r>
        <w:r w:rsidR="00AB5085">
          <w:rPr>
            <w:noProof/>
            <w:webHidden/>
          </w:rPr>
        </w:r>
        <w:r w:rsidR="00AB5085">
          <w:rPr>
            <w:noProof/>
            <w:webHidden/>
          </w:rPr>
          <w:fldChar w:fldCharType="separate"/>
        </w:r>
        <w:r w:rsidR="00AB5085">
          <w:rPr>
            <w:noProof/>
            <w:webHidden/>
          </w:rPr>
          <w:t>20</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2" w:history="1">
        <w:r w:rsidR="00AB5085" w:rsidRPr="008D40D3">
          <w:rPr>
            <w:rStyle w:val="Hypertextovodkaz"/>
            <w:rFonts w:ascii="Calibri" w:hAnsi="Calibri" w:cs="Calibri"/>
            <w:noProof/>
            <w:kern w:val="28"/>
          </w:rPr>
          <w:t>18</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ZPRACOVÁNÍ A PODPIS NABÍDEK</w:t>
        </w:r>
        <w:r w:rsidR="00AB5085">
          <w:rPr>
            <w:noProof/>
            <w:webHidden/>
          </w:rPr>
          <w:tab/>
        </w:r>
        <w:r w:rsidR="00AB5085">
          <w:rPr>
            <w:noProof/>
            <w:webHidden/>
          </w:rPr>
          <w:fldChar w:fldCharType="begin"/>
        </w:r>
        <w:r w:rsidR="00AB5085">
          <w:rPr>
            <w:noProof/>
            <w:webHidden/>
          </w:rPr>
          <w:instrText xml:space="preserve"> PAGEREF _Toc379787212 \h </w:instrText>
        </w:r>
        <w:r w:rsidR="00AB5085">
          <w:rPr>
            <w:noProof/>
            <w:webHidden/>
          </w:rPr>
        </w:r>
        <w:r w:rsidR="00AB5085">
          <w:rPr>
            <w:noProof/>
            <w:webHidden/>
          </w:rPr>
          <w:fldChar w:fldCharType="separate"/>
        </w:r>
        <w:r w:rsidR="00AB5085">
          <w:rPr>
            <w:noProof/>
            <w:webHidden/>
          </w:rPr>
          <w:t>20</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3" w:history="1">
        <w:r w:rsidR="00AB5085" w:rsidRPr="008D40D3">
          <w:rPr>
            <w:rStyle w:val="Hypertextovodkaz"/>
            <w:rFonts w:ascii="Calibri" w:hAnsi="Calibri" w:cs="Calibri"/>
            <w:noProof/>
            <w:kern w:val="28"/>
          </w:rPr>
          <w:t>19</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OTEVÍRÁNÍ OBÁLEK S NABÍDKAMI</w:t>
        </w:r>
        <w:r w:rsidR="00AB5085">
          <w:rPr>
            <w:noProof/>
            <w:webHidden/>
          </w:rPr>
          <w:tab/>
        </w:r>
        <w:r w:rsidR="00AB5085">
          <w:rPr>
            <w:noProof/>
            <w:webHidden/>
          </w:rPr>
          <w:fldChar w:fldCharType="begin"/>
        </w:r>
        <w:r w:rsidR="00AB5085">
          <w:rPr>
            <w:noProof/>
            <w:webHidden/>
          </w:rPr>
          <w:instrText xml:space="preserve"> PAGEREF _Toc379787213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4" w:history="1">
        <w:r w:rsidR="00AB5085" w:rsidRPr="008D40D3">
          <w:rPr>
            <w:rStyle w:val="Hypertextovodkaz"/>
            <w:rFonts w:ascii="Calibri" w:hAnsi="Calibri" w:cs="Calibri"/>
            <w:noProof/>
            <w:kern w:val="28"/>
          </w:rPr>
          <w:t>20</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DŮVĚRNOST ZADÁVACÍHO ŘÍZENÍ</w:t>
        </w:r>
        <w:r w:rsidR="00AB5085">
          <w:rPr>
            <w:noProof/>
            <w:webHidden/>
          </w:rPr>
          <w:tab/>
        </w:r>
        <w:r w:rsidR="00AB5085">
          <w:rPr>
            <w:noProof/>
            <w:webHidden/>
          </w:rPr>
          <w:fldChar w:fldCharType="begin"/>
        </w:r>
        <w:r w:rsidR="00AB5085">
          <w:rPr>
            <w:noProof/>
            <w:webHidden/>
          </w:rPr>
          <w:instrText xml:space="preserve"> PAGEREF _Toc379787214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5" w:history="1">
        <w:r w:rsidR="00AB5085" w:rsidRPr="008D40D3">
          <w:rPr>
            <w:rStyle w:val="Hypertextovodkaz"/>
            <w:rFonts w:ascii="Calibri" w:hAnsi="Calibri" w:cs="Calibri"/>
            <w:noProof/>
            <w:kern w:val="28"/>
          </w:rPr>
          <w:t>21</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POSOUZENÍ NABÍDEK</w:t>
        </w:r>
        <w:r w:rsidR="00AB5085">
          <w:rPr>
            <w:noProof/>
            <w:webHidden/>
          </w:rPr>
          <w:tab/>
        </w:r>
        <w:r w:rsidR="00AB5085">
          <w:rPr>
            <w:noProof/>
            <w:webHidden/>
          </w:rPr>
          <w:fldChar w:fldCharType="begin"/>
        </w:r>
        <w:r w:rsidR="00AB5085">
          <w:rPr>
            <w:noProof/>
            <w:webHidden/>
          </w:rPr>
          <w:instrText xml:space="preserve"> PAGEREF _Toc379787215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6" w:history="1">
        <w:r w:rsidR="00AB5085" w:rsidRPr="008D40D3">
          <w:rPr>
            <w:rStyle w:val="Hypertextovodkaz"/>
            <w:rFonts w:ascii="Calibri" w:hAnsi="Calibri" w:cs="Calibri"/>
            <w:noProof/>
            <w:kern w:val="28"/>
          </w:rPr>
          <w:t>22</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KRITÉRIA PRO HODNOCENÍ NABÍDEK</w:t>
        </w:r>
        <w:r w:rsidR="00AB5085">
          <w:rPr>
            <w:noProof/>
            <w:webHidden/>
          </w:rPr>
          <w:tab/>
        </w:r>
        <w:r w:rsidR="00AB5085">
          <w:rPr>
            <w:noProof/>
            <w:webHidden/>
          </w:rPr>
          <w:fldChar w:fldCharType="begin"/>
        </w:r>
        <w:r w:rsidR="00AB5085">
          <w:rPr>
            <w:noProof/>
            <w:webHidden/>
          </w:rPr>
          <w:instrText xml:space="preserve"> PAGEREF _Toc379787216 \h </w:instrText>
        </w:r>
        <w:r w:rsidR="00AB5085">
          <w:rPr>
            <w:noProof/>
            <w:webHidden/>
          </w:rPr>
        </w:r>
        <w:r w:rsidR="00AB5085">
          <w:rPr>
            <w:noProof/>
            <w:webHidden/>
          </w:rPr>
          <w:fldChar w:fldCharType="separate"/>
        </w:r>
        <w:r w:rsidR="00AB5085">
          <w:rPr>
            <w:noProof/>
            <w:webHidden/>
          </w:rPr>
          <w:t>21</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7" w:history="1">
        <w:r w:rsidR="00AB5085" w:rsidRPr="008D40D3">
          <w:rPr>
            <w:rStyle w:val="Hypertextovodkaz"/>
            <w:rFonts w:ascii="Calibri" w:hAnsi="Calibri" w:cs="Calibri"/>
            <w:noProof/>
            <w:kern w:val="28"/>
          </w:rPr>
          <w:t>23</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ZRUŠENÍ ZADÁVACÍHO ŘÍZENÍ</w:t>
        </w:r>
        <w:r w:rsidR="00AB5085">
          <w:rPr>
            <w:noProof/>
            <w:webHidden/>
          </w:rPr>
          <w:tab/>
        </w:r>
        <w:r w:rsidR="00AB5085">
          <w:rPr>
            <w:noProof/>
            <w:webHidden/>
          </w:rPr>
          <w:fldChar w:fldCharType="begin"/>
        </w:r>
        <w:r w:rsidR="00AB5085">
          <w:rPr>
            <w:noProof/>
            <w:webHidden/>
          </w:rPr>
          <w:instrText xml:space="preserve"> PAGEREF _Toc379787217 \h </w:instrText>
        </w:r>
        <w:r w:rsidR="00AB5085">
          <w:rPr>
            <w:noProof/>
            <w:webHidden/>
          </w:rPr>
        </w:r>
        <w:r w:rsidR="00AB5085">
          <w:rPr>
            <w:noProof/>
            <w:webHidden/>
          </w:rPr>
          <w:fldChar w:fldCharType="separate"/>
        </w:r>
        <w:r w:rsidR="00AB5085">
          <w:rPr>
            <w:noProof/>
            <w:webHidden/>
          </w:rPr>
          <w:t>22</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8" w:history="1">
        <w:r w:rsidR="00AB5085" w:rsidRPr="008D40D3">
          <w:rPr>
            <w:rStyle w:val="Hypertextovodkaz"/>
            <w:rFonts w:ascii="Calibri" w:hAnsi="Calibri" w:cs="Calibri"/>
            <w:noProof/>
            <w:kern w:val="28"/>
          </w:rPr>
          <w:t>24</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UZAVŘENÍ SMLOUVY</w:t>
        </w:r>
        <w:r w:rsidR="00AB5085">
          <w:rPr>
            <w:noProof/>
            <w:webHidden/>
          </w:rPr>
          <w:tab/>
        </w:r>
        <w:r w:rsidR="00AB5085">
          <w:rPr>
            <w:noProof/>
            <w:webHidden/>
          </w:rPr>
          <w:fldChar w:fldCharType="begin"/>
        </w:r>
        <w:r w:rsidR="00AB5085">
          <w:rPr>
            <w:noProof/>
            <w:webHidden/>
          </w:rPr>
          <w:instrText xml:space="preserve"> PAGEREF _Toc379787218 \h </w:instrText>
        </w:r>
        <w:r w:rsidR="00AB5085">
          <w:rPr>
            <w:noProof/>
            <w:webHidden/>
          </w:rPr>
        </w:r>
        <w:r w:rsidR="00AB5085">
          <w:rPr>
            <w:noProof/>
            <w:webHidden/>
          </w:rPr>
          <w:fldChar w:fldCharType="separate"/>
        </w:r>
        <w:r w:rsidR="00AB5085">
          <w:rPr>
            <w:noProof/>
            <w:webHidden/>
          </w:rPr>
          <w:t>22</w:t>
        </w:r>
        <w:r w:rsidR="00AB5085">
          <w:rPr>
            <w:noProof/>
            <w:webHidden/>
          </w:rPr>
          <w:fldChar w:fldCharType="end"/>
        </w:r>
      </w:hyperlink>
    </w:p>
    <w:p w:rsidR="00AB5085" w:rsidRDefault="000C15FF">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379787219" w:history="1">
        <w:r w:rsidR="00AB5085" w:rsidRPr="008D40D3">
          <w:rPr>
            <w:rStyle w:val="Hypertextovodkaz"/>
            <w:rFonts w:ascii="Calibri" w:hAnsi="Calibri" w:cs="Calibri"/>
            <w:noProof/>
            <w:kern w:val="28"/>
          </w:rPr>
          <w:t>25</w:t>
        </w:r>
        <w:r w:rsidR="00AB5085">
          <w:rPr>
            <w:rFonts w:asciiTheme="minorHAnsi" w:eastAsiaTheme="minorEastAsia" w:hAnsiTheme="minorHAnsi" w:cstheme="minorBidi"/>
            <w:b w:val="0"/>
            <w:bCs w:val="0"/>
            <w:caps w:val="0"/>
            <w:noProof/>
            <w:sz w:val="22"/>
            <w:szCs w:val="22"/>
          </w:rPr>
          <w:tab/>
        </w:r>
        <w:r w:rsidR="00AB5085" w:rsidRPr="008D40D3">
          <w:rPr>
            <w:rStyle w:val="Hypertextovodkaz"/>
            <w:rFonts w:ascii="Calibri" w:hAnsi="Calibri" w:cs="Calibri"/>
            <w:noProof/>
            <w:kern w:val="28"/>
          </w:rPr>
          <w:t>PŘÍLOHY TĚCHTO POKYNŮ</w:t>
        </w:r>
        <w:r w:rsidR="00AB5085">
          <w:rPr>
            <w:noProof/>
            <w:webHidden/>
          </w:rPr>
          <w:tab/>
        </w:r>
        <w:r w:rsidR="00AB5085">
          <w:rPr>
            <w:noProof/>
            <w:webHidden/>
          </w:rPr>
          <w:fldChar w:fldCharType="begin"/>
        </w:r>
        <w:r w:rsidR="00AB5085">
          <w:rPr>
            <w:noProof/>
            <w:webHidden/>
          </w:rPr>
          <w:instrText xml:space="preserve"> PAGEREF _Toc379787219 \h </w:instrText>
        </w:r>
        <w:r w:rsidR="00AB5085">
          <w:rPr>
            <w:noProof/>
            <w:webHidden/>
          </w:rPr>
        </w:r>
        <w:r w:rsidR="00AB5085">
          <w:rPr>
            <w:noProof/>
            <w:webHidden/>
          </w:rPr>
          <w:fldChar w:fldCharType="separate"/>
        </w:r>
        <w:r w:rsidR="00AB5085">
          <w:rPr>
            <w:noProof/>
            <w:webHidden/>
          </w:rPr>
          <w:t>22</w:t>
        </w:r>
        <w:r w:rsidR="00AB5085">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4" w:name="_Toc310353860"/>
      <w:bookmarkEnd w:id="1"/>
      <w:bookmarkEnd w:id="2"/>
      <w:bookmarkEnd w:id="3"/>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379787195"/>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7978719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9238B">
        <w:rPr>
          <w:rFonts w:ascii="Calibri" w:hAnsi="Calibri" w:cs="Calibri"/>
          <w:sz w:val="20"/>
          <w:szCs w:val="20"/>
        </w:rPr>
        <w:t xml:space="preserve">Ing. </w:t>
      </w:r>
      <w:r w:rsidR="00DF72D6">
        <w:rPr>
          <w:rFonts w:ascii="Calibri" w:hAnsi="Calibri" w:cs="Calibri"/>
          <w:sz w:val="20"/>
          <w:szCs w:val="20"/>
        </w:rPr>
        <w:t>Luborem Hrubešem</w:t>
      </w:r>
      <w:r w:rsidR="006F3707" w:rsidRPr="0009238B">
        <w:rPr>
          <w:rFonts w:ascii="Calibri" w:hAnsi="Calibri" w:cs="Calibri"/>
          <w:sz w:val="20"/>
          <w:szCs w:val="20"/>
        </w:rPr>
        <w:t xml:space="preserve">, </w:t>
      </w:r>
      <w:r w:rsidR="00DF72D6">
        <w:rPr>
          <w:rFonts w:ascii="Calibri" w:hAnsi="Calibri" w:cs="Calibri"/>
          <w:sz w:val="20"/>
          <w:szCs w:val="20"/>
        </w:rPr>
        <w:t>ředitelem Stavební správy západ</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79787197"/>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2537C6" w:rsidRPr="00051BDA" w:rsidRDefault="002537C6" w:rsidP="002537C6">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Správa železniční dopravní cesty, státní organizace,</w:t>
      </w:r>
    </w:p>
    <w:p w:rsidR="002537C6" w:rsidRPr="00051BDA" w:rsidRDefault="002537C6" w:rsidP="002537C6">
      <w:pPr>
        <w:pStyle w:val="Zkladntext"/>
        <w:widowControl/>
        <w:spacing w:line="240" w:lineRule="auto"/>
        <w:ind w:left="1418"/>
        <w:jc w:val="both"/>
        <w:rPr>
          <w:rFonts w:ascii="Calibri" w:hAnsi="Calibri" w:cs="Calibri"/>
          <w:sz w:val="20"/>
          <w:szCs w:val="20"/>
          <w:lang w:val="en-US"/>
        </w:rPr>
      </w:pPr>
      <w:r w:rsidRPr="00051BDA">
        <w:rPr>
          <w:rFonts w:ascii="Calibri" w:hAnsi="Calibri" w:cs="Calibri"/>
          <w:sz w:val="20"/>
          <w:szCs w:val="20"/>
        </w:rPr>
        <w:t>Stavební správa západ</w:t>
      </w:r>
    </w:p>
    <w:p w:rsidR="002537C6" w:rsidRPr="00051BDA" w:rsidRDefault="002537C6" w:rsidP="002537C6">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Sokolovská 278/1955</w:t>
      </w:r>
    </w:p>
    <w:p w:rsidR="002537C6" w:rsidRPr="00051BDA" w:rsidRDefault="002537C6" w:rsidP="002537C6">
      <w:pPr>
        <w:pStyle w:val="Zkladntext"/>
        <w:widowControl/>
        <w:spacing w:line="240" w:lineRule="auto"/>
        <w:ind w:left="1418"/>
        <w:jc w:val="both"/>
        <w:rPr>
          <w:rFonts w:ascii="Calibri" w:hAnsi="Calibri" w:cs="Calibri"/>
          <w:sz w:val="20"/>
          <w:szCs w:val="20"/>
        </w:rPr>
      </w:pPr>
      <w:r w:rsidRPr="00051BDA">
        <w:rPr>
          <w:rFonts w:ascii="Calibri" w:hAnsi="Calibri" w:cs="Calibri"/>
          <w:sz w:val="20"/>
          <w:szCs w:val="20"/>
        </w:rPr>
        <w:t>190 00 Praha 9</w:t>
      </w:r>
    </w:p>
    <w:p w:rsidR="002537C6" w:rsidRPr="002061A3" w:rsidRDefault="002537C6" w:rsidP="002537C6">
      <w:pPr>
        <w:pStyle w:val="Zkladntext"/>
        <w:widowControl/>
        <w:spacing w:line="240" w:lineRule="auto"/>
        <w:jc w:val="both"/>
        <w:rPr>
          <w:rFonts w:ascii="Calibri" w:hAnsi="Calibri" w:cs="Calibri"/>
          <w:sz w:val="20"/>
          <w:szCs w:val="20"/>
        </w:rPr>
      </w:pPr>
    </w:p>
    <w:p w:rsidR="002537C6" w:rsidRDefault="002537C6" w:rsidP="002537C6">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osoby: </w:t>
      </w:r>
    </w:p>
    <w:p w:rsidR="002537C6" w:rsidRDefault="002537C6" w:rsidP="002537C6">
      <w:pPr>
        <w:pStyle w:val="Zkladntext"/>
        <w:widowControl/>
        <w:spacing w:line="240" w:lineRule="auto"/>
        <w:ind w:left="1418"/>
        <w:jc w:val="both"/>
        <w:rPr>
          <w:rFonts w:ascii="Calibri" w:hAnsi="Calibri" w:cs="Calibri"/>
          <w:sz w:val="20"/>
          <w:szCs w:val="20"/>
        </w:rPr>
      </w:pPr>
      <w:r w:rsidRPr="00D2102D">
        <w:rPr>
          <w:rFonts w:ascii="Calibri" w:hAnsi="Calibri" w:cs="Calibri"/>
          <w:b/>
          <w:sz w:val="20"/>
          <w:szCs w:val="20"/>
        </w:rPr>
        <w:t>Ing. Petr Toman</w:t>
      </w:r>
      <w:r>
        <w:rPr>
          <w:rFonts w:ascii="Calibri" w:hAnsi="Calibri" w:cs="Calibri"/>
          <w:sz w:val="20"/>
          <w:szCs w:val="20"/>
        </w:rPr>
        <w:t xml:space="preserve">, telefon: 972 244 713, mob.: 607 040 075, e-mail: </w:t>
      </w:r>
      <w:hyperlink r:id="rId10" w:history="1">
        <w:r w:rsidRPr="0005496E">
          <w:rPr>
            <w:rStyle w:val="Hypertextovodkaz"/>
            <w:rFonts w:ascii="Calibri" w:hAnsi="Calibri" w:cs="Calibri"/>
            <w:sz w:val="20"/>
            <w:szCs w:val="20"/>
          </w:rPr>
          <w:t>tomanpe@szdc.cz</w:t>
        </w:r>
      </w:hyperlink>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7978719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310B73" w:rsidRDefault="00310B73" w:rsidP="00310B73">
      <w:pPr>
        <w:autoSpaceDE w:val="0"/>
        <w:autoSpaceDN w:val="0"/>
        <w:adjustRightInd w:val="0"/>
        <w:ind w:left="1418"/>
        <w:rPr>
          <w:rFonts w:asciiTheme="minorHAnsi" w:hAnsiTheme="minorHAnsi" w:cs="Arial"/>
          <w:sz w:val="20"/>
          <w:szCs w:val="20"/>
        </w:rPr>
      </w:pP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Účelem </w:t>
      </w:r>
      <w:r w:rsidR="003C013B">
        <w:rPr>
          <w:rFonts w:asciiTheme="minorHAnsi" w:hAnsiTheme="minorHAnsi" w:cs="Arial"/>
          <w:sz w:val="20"/>
          <w:szCs w:val="20"/>
        </w:rPr>
        <w:t xml:space="preserve">projektu stavby je </w:t>
      </w:r>
      <w:proofErr w:type="gramStart"/>
      <w:r w:rsidR="003C013B">
        <w:rPr>
          <w:rFonts w:asciiTheme="minorHAnsi" w:hAnsiTheme="minorHAnsi" w:cs="Arial"/>
          <w:sz w:val="20"/>
          <w:szCs w:val="20"/>
        </w:rPr>
        <w:t xml:space="preserve">následná </w:t>
      </w:r>
      <w:r w:rsidRPr="00310B73">
        <w:rPr>
          <w:rFonts w:asciiTheme="minorHAnsi" w:hAnsiTheme="minorHAnsi" w:cs="Arial"/>
          <w:sz w:val="20"/>
          <w:szCs w:val="20"/>
        </w:rPr>
        <w:t xml:space="preserve"> realizace</w:t>
      </w:r>
      <w:proofErr w:type="gramEnd"/>
      <w:r w:rsidR="008244A6">
        <w:rPr>
          <w:rFonts w:asciiTheme="minorHAnsi" w:hAnsiTheme="minorHAnsi" w:cs="Arial"/>
          <w:sz w:val="20"/>
          <w:szCs w:val="20"/>
        </w:rPr>
        <w:t xml:space="preserve"> stavby </w:t>
      </w:r>
      <w:proofErr w:type="spellStart"/>
      <w:r w:rsidR="008244A6">
        <w:rPr>
          <w:rFonts w:asciiTheme="minorHAnsi" w:hAnsiTheme="minorHAnsi" w:cs="Arial"/>
          <w:sz w:val="20"/>
          <w:szCs w:val="20"/>
        </w:rPr>
        <w:t>P</w:t>
      </w:r>
      <w:r w:rsidRPr="00310B73">
        <w:rPr>
          <w:rFonts w:asciiTheme="minorHAnsi" w:hAnsiTheme="minorHAnsi" w:cs="Arial"/>
          <w:sz w:val="20"/>
          <w:szCs w:val="20"/>
        </w:rPr>
        <w:t>eronizace</w:t>
      </w:r>
      <w:proofErr w:type="spellEnd"/>
      <w:r w:rsidRPr="00310B73">
        <w:rPr>
          <w:rFonts w:asciiTheme="minorHAnsi" w:hAnsiTheme="minorHAnsi" w:cs="Arial"/>
          <w:sz w:val="20"/>
          <w:szCs w:val="20"/>
        </w:rPr>
        <w:t xml:space="preserve"> v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Chodov a provedení takových úprav na</w:t>
      </w:r>
      <w:r w:rsidR="008244A6">
        <w:rPr>
          <w:rFonts w:asciiTheme="minorHAnsi" w:hAnsiTheme="minorHAnsi" w:cs="Arial"/>
          <w:sz w:val="20"/>
          <w:szCs w:val="20"/>
        </w:rPr>
        <w:t xml:space="preserve"> </w:t>
      </w:r>
      <w:r w:rsidRPr="00310B73">
        <w:rPr>
          <w:rFonts w:asciiTheme="minorHAnsi" w:hAnsiTheme="minorHAnsi" w:cs="Arial"/>
          <w:sz w:val="20"/>
          <w:szCs w:val="20"/>
        </w:rPr>
        <w:t>infrastruktuře, aby došlo k maximálnímu zrychlení dopravy při průjezdu stanice.</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Hlavní cíle stavby lze shrnout do těchto bodů:</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proofErr w:type="spellStart"/>
      <w:r w:rsidRPr="00310B73">
        <w:rPr>
          <w:rFonts w:asciiTheme="minorHAnsi" w:hAnsiTheme="minorHAnsi" w:cs="Arial"/>
          <w:sz w:val="20"/>
          <w:szCs w:val="20"/>
        </w:rPr>
        <w:t>peronizace</w:t>
      </w:r>
      <w:proofErr w:type="spellEnd"/>
      <w:r w:rsidRPr="00310B73">
        <w:rPr>
          <w:rFonts w:asciiTheme="minorHAnsi" w:hAnsiTheme="minorHAnsi" w:cs="Arial"/>
          <w:sz w:val="20"/>
          <w:szCs w:val="20"/>
        </w:rPr>
        <w:t xml:space="preserve"> stanice Chodov, zajištění bezbariérovosti,</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zkrácení jízdní doby při průjezdu stanici,</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zkrácení přístupů pro cestující na nástupiště,</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zlepšení technických a technologických vlastností příslušné dopravny,</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provedení nutné rekonstrukce zabezpečovacího a sdělovacího zařízení,</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Arial"/>
          <w:sz w:val="20"/>
          <w:szCs w:val="20"/>
        </w:rPr>
        <w:t>železničního svršku a spodku, mostních objektů, trakčních a energetických</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Arial"/>
          <w:sz w:val="20"/>
          <w:szCs w:val="20"/>
        </w:rPr>
        <w:t>zařízení.</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A z toho plynoucí hlavní přínosy jsou:</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úspora času cestujících,</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zvýšení bezpečnosti železniční dopravy a cestující veřejnosti,</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úspora zaměstnanců SŽDC,</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úspora údržbových prací SŽDC,</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úspora nákladů dopravců,</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získání nových cestujících, zvýšení tržeb,</w:t>
      </w:r>
    </w:p>
    <w:p w:rsidR="00310B73" w:rsidRPr="00310B73" w:rsidRDefault="00310B73" w:rsidP="00310B73">
      <w:pPr>
        <w:autoSpaceDE w:val="0"/>
        <w:autoSpaceDN w:val="0"/>
        <w:adjustRightInd w:val="0"/>
        <w:ind w:left="2127"/>
        <w:rPr>
          <w:rFonts w:asciiTheme="minorHAnsi" w:hAnsiTheme="minorHAnsi" w:cs="Arial"/>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zvýšení bezpečnosti,</w:t>
      </w:r>
    </w:p>
    <w:p w:rsidR="00A62F25" w:rsidRPr="00310B73" w:rsidRDefault="00310B73" w:rsidP="00310B73">
      <w:pPr>
        <w:spacing w:after="200" w:line="276" w:lineRule="auto"/>
        <w:ind w:left="1418" w:firstLine="709"/>
        <w:contextualSpacing/>
        <w:jc w:val="both"/>
        <w:rPr>
          <w:rFonts w:asciiTheme="minorHAnsi" w:hAnsiTheme="minorHAnsi" w:cs="Calibri"/>
          <w:color w:val="FF0000"/>
          <w:sz w:val="20"/>
          <w:szCs w:val="20"/>
        </w:rPr>
      </w:pPr>
      <w:r w:rsidRPr="00310B73">
        <w:rPr>
          <w:rFonts w:asciiTheme="minorHAnsi" w:hAnsiTheme="minorHAnsi" w:cs="Symbol"/>
          <w:sz w:val="20"/>
          <w:szCs w:val="20"/>
        </w:rPr>
        <w:t xml:space="preserve">· </w:t>
      </w:r>
      <w:r w:rsidRPr="00310B73">
        <w:rPr>
          <w:rFonts w:asciiTheme="minorHAnsi" w:hAnsiTheme="minorHAnsi" w:cs="Arial"/>
          <w:sz w:val="20"/>
          <w:szCs w:val="20"/>
        </w:rPr>
        <w:t>zvýšení komfortu cestujících, kultury cestování.</w:t>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3C013B" w:rsidRDefault="003C013B" w:rsidP="003C013B">
      <w:pPr>
        <w:pStyle w:val="Odstavecseseznamem"/>
        <w:ind w:left="1418"/>
        <w:rPr>
          <w:rFonts w:asciiTheme="minorHAnsi" w:hAnsiTheme="minorHAnsi"/>
          <w:sz w:val="20"/>
          <w:szCs w:val="20"/>
        </w:rPr>
      </w:pPr>
    </w:p>
    <w:p w:rsidR="00D24679" w:rsidRDefault="003C013B" w:rsidP="003C013B">
      <w:pPr>
        <w:pStyle w:val="Odstavecseseznamem"/>
        <w:ind w:left="1418"/>
        <w:rPr>
          <w:rFonts w:asciiTheme="minorHAnsi" w:hAnsiTheme="minorHAnsi"/>
          <w:sz w:val="20"/>
          <w:szCs w:val="20"/>
        </w:rPr>
      </w:pPr>
      <w:r w:rsidRPr="003C013B">
        <w:rPr>
          <w:rFonts w:asciiTheme="minorHAnsi" w:hAnsiTheme="minorHAnsi"/>
          <w:sz w:val="20"/>
          <w:szCs w:val="20"/>
        </w:rPr>
        <w:t>Předmětem zakázky je zpracování projektu stavby „</w:t>
      </w:r>
      <w:proofErr w:type="spellStart"/>
      <w:r w:rsidRPr="003C013B">
        <w:rPr>
          <w:rFonts w:asciiTheme="minorHAnsi" w:hAnsiTheme="minorHAnsi"/>
          <w:sz w:val="20"/>
          <w:szCs w:val="20"/>
        </w:rPr>
        <w:t>Peronizace</w:t>
      </w:r>
      <w:proofErr w:type="spellEnd"/>
      <w:r w:rsidRPr="003C013B">
        <w:rPr>
          <w:rFonts w:asciiTheme="minorHAnsi" w:hAnsiTheme="minorHAnsi"/>
          <w:sz w:val="20"/>
          <w:szCs w:val="20"/>
        </w:rPr>
        <w:t xml:space="preserve"> </w:t>
      </w:r>
      <w:proofErr w:type="spellStart"/>
      <w:r w:rsidRPr="003C013B">
        <w:rPr>
          <w:rFonts w:asciiTheme="minorHAnsi" w:hAnsiTheme="minorHAnsi"/>
          <w:sz w:val="20"/>
          <w:szCs w:val="20"/>
        </w:rPr>
        <w:t>žst</w:t>
      </w:r>
      <w:proofErr w:type="spellEnd"/>
      <w:r w:rsidRPr="003C013B">
        <w:rPr>
          <w:rFonts w:asciiTheme="minorHAnsi" w:hAnsiTheme="minorHAnsi"/>
          <w:sz w:val="20"/>
          <w:szCs w:val="20"/>
        </w:rPr>
        <w:t>. Chodov“, jehož součástí bude rovněž autorský dozor a funkce koordinátora BOZP</w:t>
      </w:r>
      <w:r>
        <w:rPr>
          <w:rFonts w:asciiTheme="minorHAnsi" w:hAnsiTheme="minorHAnsi"/>
          <w:sz w:val="20"/>
          <w:szCs w:val="20"/>
        </w:rPr>
        <w:t>.</w:t>
      </w:r>
    </w:p>
    <w:p w:rsidR="003C013B" w:rsidRPr="003C013B" w:rsidRDefault="003C013B" w:rsidP="003C013B">
      <w:pPr>
        <w:pStyle w:val="Odstavecseseznamem"/>
        <w:ind w:left="1418"/>
        <w:rPr>
          <w:rFonts w:asciiTheme="minorHAnsi" w:hAnsiTheme="minorHAnsi" w:cs="Calibri"/>
          <w:sz w:val="20"/>
          <w:szCs w:val="20"/>
        </w:rPr>
      </w:pP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Jedná se o rekonstrukci stávající drážní infrastruktury pro dosažení vyšších</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kvalitativních parametrů a celkové zvýšení atraktivity železniční dopravy. Jedná se tedy</w:t>
      </w:r>
    </w:p>
    <w:p w:rsid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jednoznačně o změnu dokončené a provozované liniové stavby dráhy.</w:t>
      </w:r>
    </w:p>
    <w:p w:rsidR="00310B73" w:rsidRPr="00310B73" w:rsidRDefault="00310B73" w:rsidP="00310B73">
      <w:pPr>
        <w:autoSpaceDE w:val="0"/>
        <w:autoSpaceDN w:val="0"/>
        <w:adjustRightInd w:val="0"/>
        <w:ind w:left="1418"/>
        <w:rPr>
          <w:rFonts w:asciiTheme="minorHAnsi" w:hAnsiTheme="minorHAnsi" w:cs="Arial"/>
          <w:sz w:val="20"/>
          <w:szCs w:val="20"/>
        </w:rPr>
      </w:pP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Začátek stavby je v km 195,357 před karlovarským </w:t>
      </w:r>
      <w:proofErr w:type="spellStart"/>
      <w:r w:rsidRPr="00310B73">
        <w:rPr>
          <w:rFonts w:asciiTheme="minorHAnsi" w:hAnsiTheme="minorHAnsi" w:cs="Arial"/>
          <w:sz w:val="20"/>
          <w:szCs w:val="20"/>
        </w:rPr>
        <w:t>zhlaví</w:t>
      </w:r>
      <w:proofErr w:type="spellEnd"/>
      <w:r w:rsidRPr="00310B73">
        <w:rPr>
          <w:rFonts w:asciiTheme="minorHAnsi" w:hAnsiTheme="minorHAnsi" w:cs="Arial"/>
          <w:sz w:val="20"/>
          <w:szCs w:val="20"/>
        </w:rPr>
        <w:t xml:space="preserve">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Chodov a konec stavby</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je v km 197,701 v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xml:space="preserve">. Nové Sedlo. Stavba zahrnuje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Chodov, úsek jednokolejné spojky</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mezi Chodovem a Novým Sedlem a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Nové Sedlo. Před začátek resp. za konec stavby</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lastRenderedPageBreak/>
        <w:t>zasahují směrové a výškové úpravy kolejí, kabelové trasy, úpravy návěstidel a dalších</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zařízení nutné pro napojení na současný stav. Směrem na Karlovy Vary se jedná o výběh</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úpravy zabezpečovacího zařízení, vyvolané úpravou poloh návěstidel, až do km 192,950.</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Směrem na Sokolov se jedná o výběh směrových a výškových úprav v kol. </w:t>
      </w:r>
      <w:proofErr w:type="gramStart"/>
      <w:r w:rsidRPr="00310B73">
        <w:rPr>
          <w:rFonts w:asciiTheme="minorHAnsi" w:hAnsiTheme="minorHAnsi" w:cs="Arial"/>
          <w:sz w:val="20"/>
          <w:szCs w:val="20"/>
        </w:rPr>
        <w:t>č.</w:t>
      </w:r>
      <w:proofErr w:type="gramEnd"/>
      <w:r w:rsidRPr="00310B73">
        <w:rPr>
          <w:rFonts w:asciiTheme="minorHAnsi" w:hAnsiTheme="minorHAnsi" w:cs="Arial"/>
          <w:sz w:val="20"/>
          <w:szCs w:val="20"/>
        </w:rPr>
        <w:t xml:space="preserve"> 4 v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Nové</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Sedlo do km 198,471.</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V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xml:space="preserve">. Chodov dojde k úpravě karlovarského </w:t>
      </w:r>
      <w:proofErr w:type="spellStart"/>
      <w:r w:rsidRPr="00310B73">
        <w:rPr>
          <w:rFonts w:asciiTheme="minorHAnsi" w:hAnsiTheme="minorHAnsi" w:cs="Arial"/>
          <w:sz w:val="20"/>
          <w:szCs w:val="20"/>
        </w:rPr>
        <w:t>zhlaví</w:t>
      </w:r>
      <w:proofErr w:type="spellEnd"/>
      <w:r w:rsidRPr="00310B73">
        <w:rPr>
          <w:rFonts w:asciiTheme="minorHAnsi" w:hAnsiTheme="minorHAnsi" w:cs="Arial"/>
          <w:sz w:val="20"/>
          <w:szCs w:val="20"/>
        </w:rPr>
        <w:t xml:space="preserve"> pro odbočení rychlostí 80 km/h,</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resp. 100 km/h do stanice. Staniční kolejiště bude upraveno pro vytvoření prostoru pro</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ostrovní nástupiště, které se umísťuje mezi koleje č. 1 a 2. Do nové polohy se umisťuje i</w:t>
      </w:r>
    </w:p>
    <w:p w:rsidR="00310B73" w:rsidRDefault="00310B73" w:rsidP="00310B73">
      <w:pPr>
        <w:autoSpaceDE w:val="0"/>
        <w:autoSpaceDN w:val="0"/>
        <w:adjustRightInd w:val="0"/>
        <w:ind w:left="1418"/>
        <w:rPr>
          <w:rFonts w:asciiTheme="minorHAnsi" w:hAnsiTheme="minorHAnsi" w:cs="Arial"/>
          <w:sz w:val="20"/>
          <w:szCs w:val="20"/>
        </w:rPr>
      </w:pPr>
      <w:proofErr w:type="spellStart"/>
      <w:r w:rsidRPr="00310B73">
        <w:rPr>
          <w:rFonts w:asciiTheme="minorHAnsi" w:hAnsiTheme="minorHAnsi" w:cs="Arial"/>
          <w:sz w:val="20"/>
          <w:szCs w:val="20"/>
        </w:rPr>
        <w:t>novorolské</w:t>
      </w:r>
      <w:proofErr w:type="spellEnd"/>
      <w:r w:rsidRPr="00310B73">
        <w:rPr>
          <w:rFonts w:asciiTheme="minorHAnsi" w:hAnsiTheme="minorHAnsi" w:cs="Arial"/>
          <w:sz w:val="20"/>
          <w:szCs w:val="20"/>
        </w:rPr>
        <w:t xml:space="preserve"> nástupiště. Novosedelské </w:t>
      </w:r>
      <w:proofErr w:type="spellStart"/>
      <w:r w:rsidRPr="00310B73">
        <w:rPr>
          <w:rFonts w:asciiTheme="minorHAnsi" w:hAnsiTheme="minorHAnsi" w:cs="Arial"/>
          <w:sz w:val="20"/>
          <w:szCs w:val="20"/>
        </w:rPr>
        <w:t>zhlaví</w:t>
      </w:r>
      <w:proofErr w:type="spellEnd"/>
      <w:r w:rsidRPr="00310B73">
        <w:rPr>
          <w:rFonts w:asciiTheme="minorHAnsi" w:hAnsiTheme="minorHAnsi" w:cs="Arial"/>
          <w:sz w:val="20"/>
          <w:szCs w:val="20"/>
        </w:rPr>
        <w:t xml:space="preserve"> bude upraveno pro rychlost 60 km/h. Ve stanici</w:t>
      </w:r>
      <w:r>
        <w:rPr>
          <w:rFonts w:asciiTheme="minorHAnsi" w:hAnsiTheme="minorHAnsi" w:cs="Arial"/>
          <w:sz w:val="20"/>
          <w:szCs w:val="20"/>
        </w:rPr>
        <w:t xml:space="preserve"> </w:t>
      </w:r>
      <w:r w:rsidRPr="00310B73">
        <w:rPr>
          <w:rFonts w:asciiTheme="minorHAnsi" w:hAnsiTheme="minorHAnsi" w:cs="Arial"/>
          <w:sz w:val="20"/>
          <w:szCs w:val="20"/>
        </w:rPr>
        <w:t xml:space="preserve">dojde v souvislosti s rušením koleje č. </w:t>
      </w:r>
      <w:proofErr w:type="spellStart"/>
      <w:r w:rsidRPr="00310B73">
        <w:rPr>
          <w:rFonts w:asciiTheme="minorHAnsi" w:hAnsiTheme="minorHAnsi" w:cs="Arial"/>
          <w:sz w:val="20"/>
          <w:szCs w:val="20"/>
        </w:rPr>
        <w:t>stáv</w:t>
      </w:r>
      <w:proofErr w:type="spellEnd"/>
      <w:r w:rsidRPr="00310B73">
        <w:rPr>
          <w:rFonts w:asciiTheme="minorHAnsi" w:hAnsiTheme="minorHAnsi" w:cs="Arial"/>
          <w:sz w:val="20"/>
          <w:szCs w:val="20"/>
        </w:rPr>
        <w:t xml:space="preserve">. 2 ke </w:t>
      </w:r>
      <w:proofErr w:type="spellStart"/>
      <w:r w:rsidRPr="00310B73">
        <w:rPr>
          <w:rFonts w:asciiTheme="minorHAnsi" w:hAnsiTheme="minorHAnsi" w:cs="Arial"/>
          <w:sz w:val="20"/>
          <w:szCs w:val="20"/>
        </w:rPr>
        <w:t>zdopravnění</w:t>
      </w:r>
      <w:proofErr w:type="spellEnd"/>
      <w:r w:rsidRPr="00310B73">
        <w:rPr>
          <w:rFonts w:asciiTheme="minorHAnsi" w:hAnsiTheme="minorHAnsi" w:cs="Arial"/>
          <w:sz w:val="20"/>
          <w:szCs w:val="20"/>
        </w:rPr>
        <w:t xml:space="preserve"> koleje č. 4.</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 xml:space="preserve">V </w:t>
      </w:r>
      <w:proofErr w:type="spellStart"/>
      <w:r w:rsidRPr="00310B73">
        <w:rPr>
          <w:rFonts w:asciiTheme="minorHAnsi" w:hAnsiTheme="minorHAnsi" w:cs="Arial"/>
          <w:sz w:val="20"/>
          <w:szCs w:val="20"/>
        </w:rPr>
        <w:t>žst</w:t>
      </w:r>
      <w:proofErr w:type="spellEnd"/>
      <w:r w:rsidRPr="00310B73">
        <w:rPr>
          <w:rFonts w:asciiTheme="minorHAnsi" w:hAnsiTheme="minorHAnsi" w:cs="Arial"/>
          <w:sz w:val="20"/>
          <w:szCs w:val="20"/>
        </w:rPr>
        <w:t xml:space="preserve">. Chodov vzniknou nově dvě nástupiště s výškou nástupní hrany 550 mm </w:t>
      </w:r>
      <w:proofErr w:type="gramStart"/>
      <w:r w:rsidRPr="00310B73">
        <w:rPr>
          <w:rFonts w:asciiTheme="minorHAnsi" w:hAnsiTheme="minorHAnsi" w:cs="Arial"/>
          <w:sz w:val="20"/>
          <w:szCs w:val="20"/>
        </w:rPr>
        <w:t>nad</w:t>
      </w:r>
      <w:proofErr w:type="gramEnd"/>
    </w:p>
    <w:p w:rsidR="00310B73" w:rsidRPr="00310B73" w:rsidRDefault="00310B73" w:rsidP="00310B73">
      <w:pPr>
        <w:autoSpaceDE w:val="0"/>
        <w:autoSpaceDN w:val="0"/>
        <w:adjustRightInd w:val="0"/>
        <w:ind w:left="1418"/>
        <w:rPr>
          <w:rFonts w:asciiTheme="minorHAnsi" w:hAnsiTheme="minorHAnsi" w:cs="Arial"/>
          <w:sz w:val="20"/>
          <w:szCs w:val="20"/>
        </w:rPr>
      </w:pPr>
      <w:proofErr w:type="gramStart"/>
      <w:r w:rsidRPr="00310B73">
        <w:rPr>
          <w:rFonts w:asciiTheme="minorHAnsi" w:hAnsiTheme="minorHAnsi" w:cs="Arial"/>
          <w:sz w:val="20"/>
          <w:szCs w:val="20"/>
        </w:rPr>
        <w:t>TK s bezbariérovým</w:t>
      </w:r>
      <w:proofErr w:type="gramEnd"/>
      <w:r w:rsidRPr="00310B73">
        <w:rPr>
          <w:rFonts w:asciiTheme="minorHAnsi" w:hAnsiTheme="minorHAnsi" w:cs="Arial"/>
          <w:sz w:val="20"/>
          <w:szCs w:val="20"/>
        </w:rPr>
        <w:t xml:space="preserve"> přístupem. Jedno vnější nástupiště délky 90 m pro </w:t>
      </w:r>
      <w:proofErr w:type="spellStart"/>
      <w:r w:rsidRPr="00310B73">
        <w:rPr>
          <w:rFonts w:asciiTheme="minorHAnsi" w:hAnsiTheme="minorHAnsi" w:cs="Arial"/>
          <w:sz w:val="20"/>
          <w:szCs w:val="20"/>
        </w:rPr>
        <w:t>novorolskou</w:t>
      </w:r>
      <w:proofErr w:type="spellEnd"/>
      <w:r w:rsidRPr="00310B73">
        <w:rPr>
          <w:rFonts w:asciiTheme="minorHAnsi" w:hAnsiTheme="minorHAnsi" w:cs="Arial"/>
          <w:sz w:val="20"/>
          <w:szCs w:val="20"/>
        </w:rPr>
        <w:t xml:space="preserve"> trať</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s přístupem z přednádraží a jedno ostrovní nástupiště délky 250 m pro relaci Karlovy Vary –</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Sokolov s mimoúrovňovým přístupem podchody. Pro zlepšení přístupu cestujících a zkrácení</w:t>
      </w:r>
    </w:p>
    <w:p w:rsidR="00310B73" w:rsidRPr="00310B73" w:rsidRDefault="00310B73" w:rsidP="00310B73">
      <w:pPr>
        <w:autoSpaceDE w:val="0"/>
        <w:autoSpaceDN w:val="0"/>
        <w:adjustRightInd w:val="0"/>
        <w:ind w:left="1418"/>
        <w:rPr>
          <w:rFonts w:asciiTheme="minorHAnsi" w:hAnsiTheme="minorHAnsi" w:cs="Arial"/>
          <w:sz w:val="20"/>
          <w:szCs w:val="20"/>
        </w:rPr>
      </w:pPr>
      <w:r w:rsidRPr="00310B73">
        <w:rPr>
          <w:rFonts w:asciiTheme="minorHAnsi" w:hAnsiTheme="minorHAnsi" w:cs="Arial"/>
          <w:sz w:val="20"/>
          <w:szCs w:val="20"/>
        </w:rPr>
        <w:t>jejich docházkové vzdálenosti jsou obě nástupiště vysunuty blíže centru na novosedelské</w:t>
      </w:r>
      <w:r>
        <w:rPr>
          <w:rFonts w:asciiTheme="minorHAnsi" w:hAnsiTheme="minorHAnsi" w:cs="Arial"/>
          <w:sz w:val="20"/>
          <w:szCs w:val="20"/>
        </w:rPr>
        <w:t xml:space="preserve"> </w:t>
      </w:r>
      <w:proofErr w:type="spellStart"/>
      <w:r w:rsidRPr="00310B73">
        <w:rPr>
          <w:rFonts w:asciiTheme="minorHAnsi" w:hAnsiTheme="minorHAnsi" w:cs="Arial"/>
          <w:sz w:val="20"/>
          <w:szCs w:val="20"/>
        </w:rPr>
        <w:t>zhlaví</w:t>
      </w:r>
      <w:proofErr w:type="spellEnd"/>
      <w:r w:rsidRPr="00310B73">
        <w:rPr>
          <w:rFonts w:asciiTheme="minorHAnsi" w:hAnsiTheme="minorHAnsi" w:cs="Arial"/>
          <w:sz w:val="20"/>
          <w:szCs w:val="20"/>
        </w:rPr>
        <w:t xml:space="preserve"> a přístupy jsou k nim zřízeny také z čela.</w:t>
      </w:r>
    </w:p>
    <w:p w:rsidR="00407C92" w:rsidRDefault="00407C92" w:rsidP="00310B73">
      <w:pPr>
        <w:spacing w:before="12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2537C6" w:rsidRDefault="002537C6" w:rsidP="002537C6">
      <w:pPr>
        <w:pStyle w:val="Odstavecseseznamem"/>
        <w:numPr>
          <w:ilvl w:val="0"/>
          <w:numId w:val="33"/>
        </w:numPr>
        <w:spacing w:before="120"/>
        <w:ind w:left="1702" w:hanging="284"/>
        <w:rPr>
          <w:rFonts w:ascii="Calibri" w:hAnsi="Calibri" w:cs="Calibri"/>
          <w:sz w:val="20"/>
          <w:szCs w:val="20"/>
        </w:rPr>
      </w:pPr>
      <w:r>
        <w:rPr>
          <w:rFonts w:ascii="Calibri" w:hAnsi="Calibri" w:cs="Calibri"/>
          <w:sz w:val="20"/>
          <w:szCs w:val="20"/>
        </w:rPr>
        <w:t>kód CPV 71311230-2 – Železniční stavitelství</w:t>
      </w:r>
    </w:p>
    <w:p w:rsidR="002537C6" w:rsidRDefault="002537C6" w:rsidP="002537C6">
      <w:pPr>
        <w:pStyle w:val="Odstavecseseznamem"/>
        <w:numPr>
          <w:ilvl w:val="0"/>
          <w:numId w:val="33"/>
        </w:numPr>
        <w:spacing w:line="320" w:lineRule="atLeast"/>
        <w:ind w:left="1701" w:hanging="283"/>
        <w:jc w:val="both"/>
        <w:rPr>
          <w:rFonts w:ascii="Calibri" w:hAnsi="Calibri" w:cs="Calibri"/>
          <w:color w:val="FF0000"/>
          <w:sz w:val="20"/>
          <w:szCs w:val="20"/>
        </w:rPr>
      </w:pPr>
      <w:r>
        <w:rPr>
          <w:rFonts w:ascii="Calibri" w:hAnsi="Calibri" w:cs="Calibri"/>
          <w:sz w:val="20"/>
          <w:szCs w:val="20"/>
        </w:rPr>
        <w:t>kód CPV 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79787199"/>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 na léta 2007 </w:t>
      </w:r>
      <w:r w:rsidR="00407C92">
        <w:rPr>
          <w:rFonts w:ascii="Calibri" w:hAnsi="Calibri" w:cs="Calibri"/>
          <w:sz w:val="20"/>
          <w:szCs w:val="20"/>
        </w:rPr>
        <w:t>–</w:t>
      </w:r>
      <w:r w:rsidR="00407C92" w:rsidRPr="00300BBC">
        <w:rPr>
          <w:rFonts w:ascii="Calibri" w:hAnsi="Calibri" w:cs="Calibri"/>
          <w:sz w:val="20"/>
          <w:szCs w:val="20"/>
        </w:rPr>
        <w:t xml:space="preserve"> 2013</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2537C6">
        <w:rPr>
          <w:rFonts w:ascii="Calibri" w:hAnsi="Calibri" w:cs="Calibri"/>
          <w:sz w:val="20"/>
          <w:szCs w:val="20"/>
        </w:rPr>
        <w:t xml:space="preserve"> </w:t>
      </w:r>
      <w:r w:rsidR="002537C6" w:rsidRPr="002537C6">
        <w:rPr>
          <w:rFonts w:ascii="Calibri" w:hAnsi="Calibri" w:cs="Calibri"/>
          <w:b/>
          <w:sz w:val="20"/>
          <w:szCs w:val="20"/>
        </w:rPr>
        <w:t>18 675 000</w:t>
      </w:r>
      <w:r w:rsidR="00407C92">
        <w:rPr>
          <w:rFonts w:ascii="Calibri" w:hAnsi="Calibri" w:cs="Calibri"/>
          <w:sz w:val="20"/>
          <w:szCs w:val="20"/>
          <w:lang w:val="en-US"/>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79787200"/>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79787201"/>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79787202"/>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dodatků k zadávací dokumentaci nebo jejích změn vydaných během lhůty pro podání nabídek, a za získání spolehlivých informací ve vztahu k jakýmkoliv a </w:t>
      </w:r>
      <w:r w:rsidRPr="00DE0A69">
        <w:rPr>
          <w:rFonts w:ascii="Calibri" w:hAnsi="Calibri" w:cs="Calibri"/>
          <w:sz w:val="20"/>
          <w:szCs w:val="20"/>
        </w:rPr>
        <w:lastRenderedPageBreak/>
        <w:t>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79787203"/>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ve smyslu § 63 odst. 2 a 3 ZVZ prokázání splnění základních kvalifikačních předpokladů podle § 53 </w:t>
      </w:r>
      <w:proofErr w:type="gramStart"/>
      <w:r w:rsidRPr="00DE0A69">
        <w:rPr>
          <w:rFonts w:ascii="Calibri" w:hAnsi="Calibri" w:cs="Calibri"/>
          <w:sz w:val="20"/>
          <w:szCs w:val="20"/>
        </w:rPr>
        <w:t>odst.1 ZVZ</w:t>
      </w:r>
      <w:proofErr w:type="gramEnd"/>
      <w:r w:rsidRPr="00DE0A69">
        <w:rPr>
          <w:rFonts w:ascii="Calibri" w:hAnsi="Calibri" w:cs="Calibri"/>
          <w:sz w:val="20"/>
          <w:szCs w:val="20"/>
        </w:rPr>
        <w:t>,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w:t>
      </w:r>
      <w:r w:rsidRPr="000D24E4">
        <w:rPr>
          <w:rFonts w:ascii="Calibri" w:hAnsi="Calibri" w:cs="Calibri"/>
          <w:sz w:val="20"/>
          <w:szCs w:val="20"/>
        </w:rPr>
        <w:lastRenderedPageBreak/>
        <w:t>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w:t>
      </w:r>
      <w:r w:rsidRPr="008714AC">
        <w:rPr>
          <w:rFonts w:ascii="Calibri" w:hAnsi="Calibri" w:cs="Calibri"/>
          <w:sz w:val="20"/>
          <w:szCs w:val="20"/>
        </w:rPr>
        <w:lastRenderedPageBreak/>
        <w:t>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w:t>
      </w:r>
      <w:proofErr w:type="gramStart"/>
      <w:r w:rsidR="00B574F0" w:rsidRPr="0078227E">
        <w:rPr>
          <w:rFonts w:ascii="Calibri" w:hAnsi="Calibri" w:cs="Calibri"/>
          <w:sz w:val="20"/>
          <w:szCs w:val="20"/>
        </w:rPr>
        <w:t>písm</w:t>
      </w:r>
      <w:r w:rsidR="00B574F0" w:rsidRPr="00F673E8">
        <w:rPr>
          <w:rFonts w:ascii="Calibri" w:hAnsi="Calibri" w:cs="Calibri"/>
          <w:sz w:val="20"/>
          <w:szCs w:val="20"/>
        </w:rPr>
        <w:t>.</w:t>
      </w:r>
      <w:r w:rsidR="008174E9" w:rsidRPr="00F673E8">
        <w:rPr>
          <w:rFonts w:ascii="Calibri" w:hAnsi="Calibri" w:cs="Calibri"/>
          <w:sz w:val="20"/>
          <w:szCs w:val="20"/>
        </w:rPr>
        <w:t xml:space="preserve"> b), d), e)</w:t>
      </w:r>
      <w:r w:rsidR="009D57C6" w:rsidRPr="00F673E8">
        <w:rPr>
          <w:rFonts w:ascii="Calibri" w:hAnsi="Calibri" w:cs="Calibri"/>
          <w:sz w:val="20"/>
          <w:szCs w:val="20"/>
        </w:rPr>
        <w:t>,</w:t>
      </w:r>
      <w:r w:rsidR="008174E9" w:rsidRPr="00F673E8">
        <w:rPr>
          <w:rFonts w:ascii="Calibri" w:hAnsi="Calibri" w:cs="Calibri"/>
          <w:sz w:val="20"/>
          <w:szCs w:val="20"/>
        </w:rPr>
        <w:t xml:space="preserve"> </w:t>
      </w:r>
      <w:r w:rsidR="009D57C6" w:rsidRPr="00F673E8">
        <w:rPr>
          <w:rFonts w:ascii="Calibri" w:hAnsi="Calibri" w:cs="Calibri"/>
          <w:sz w:val="20"/>
          <w:szCs w:val="20"/>
        </w:rPr>
        <w:t xml:space="preserve">g), </w:t>
      </w:r>
      <w:r w:rsidR="00DD4FBB" w:rsidRPr="00F673E8">
        <w:rPr>
          <w:rFonts w:ascii="Calibri" w:hAnsi="Calibri" w:cs="Calibri"/>
          <w:sz w:val="20"/>
          <w:szCs w:val="20"/>
        </w:rPr>
        <w:t>i</w:t>
      </w:r>
      <w:r w:rsidR="005B1CC6" w:rsidRPr="00F673E8">
        <w:rPr>
          <w:rFonts w:ascii="Calibri" w:hAnsi="Calibri" w:cs="Calibri"/>
          <w:sz w:val="20"/>
          <w:szCs w:val="20"/>
        </w:rPr>
        <w:t>)</w:t>
      </w:r>
      <w:r w:rsidR="00DD4FBB" w:rsidRPr="00F673E8">
        <w:rPr>
          <w:rFonts w:ascii="Calibri" w:hAnsi="Calibri" w:cs="Calibri"/>
          <w:sz w:val="20"/>
          <w:szCs w:val="20"/>
        </w:rPr>
        <w:t xml:space="preserve"> </w:t>
      </w:r>
      <w:r w:rsidR="006A5947" w:rsidRPr="00F673E8">
        <w:rPr>
          <w:rFonts w:ascii="Calibri" w:hAnsi="Calibri" w:cs="Calibri"/>
          <w:sz w:val="20"/>
          <w:szCs w:val="20"/>
          <w:lang w:val="en-US"/>
        </w:rPr>
        <w:t xml:space="preserve"> </w:t>
      </w:r>
      <w:r w:rsidR="00B574F0" w:rsidRPr="00F673E8">
        <w:rPr>
          <w:rFonts w:ascii="Calibri" w:hAnsi="Calibri" w:cs="Calibri"/>
          <w:sz w:val="20"/>
          <w:szCs w:val="20"/>
        </w:rPr>
        <w:t>zákona</w:t>
      </w:r>
      <w:proofErr w:type="gramEnd"/>
      <w:r w:rsidR="00B574F0" w:rsidRPr="00F673E8">
        <w:rPr>
          <w:rFonts w:ascii="Calibri" w:hAnsi="Calibri" w:cs="Calibri"/>
          <w:sz w:val="20"/>
          <w:szCs w:val="20"/>
        </w:rPr>
        <w:t xml:space="preserve"> č. 360/1992 Sb., o výkonu povolání autorizovaných architektů a o výkonu</w:t>
      </w:r>
      <w:r w:rsidR="00B574F0" w:rsidRPr="0078227E">
        <w:rPr>
          <w:rFonts w:ascii="Calibri" w:hAnsi="Calibri" w:cs="Calibri"/>
          <w:sz w:val="20"/>
          <w:szCs w:val="20"/>
        </w:rPr>
        <w:t xml:space="preserve">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E159F7">
        <w:rPr>
          <w:rFonts w:ascii="Calibri" w:hAnsi="Calibri" w:cs="Calibri"/>
          <w:sz w:val="20"/>
          <w:szCs w:val="20"/>
        </w:rPr>
        <w:t>c</w:t>
      </w:r>
      <w:r w:rsidRPr="00300BBC">
        <w:rPr>
          <w:rFonts w:ascii="Calibri" w:hAnsi="Calibri" w:cs="Calibri"/>
          <w:sz w:val="20"/>
          <w:szCs w:val="20"/>
        </w:rPr>
        <w:t xml:space="preserve">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00E159F7">
        <w:rPr>
          <w:rFonts w:ascii="Calibri" w:hAnsi="Calibri" w:cs="Calibri"/>
          <w:sz w:val="20"/>
          <w:szCs w:val="20"/>
        </w:rPr>
        <w:t>200/1994 Sb., o zeměměřic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lastRenderedPageBreak/>
        <w:t>Zadavatel požaduje předložení autorizace ke zpracování dokumentace a posudku dle § 19 zák. č. 100/2001 Sb., o posuzování vlivů na životní prostředí, ve znění pozdějších předpisů.</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2B0743">
      <w:pPr>
        <w:spacing w:before="240"/>
        <w:ind w:left="1054"/>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w:t>
      </w:r>
      <w:r w:rsidR="00245FDB" w:rsidRPr="00F673E8">
        <w:rPr>
          <w:rFonts w:ascii="Calibri" w:hAnsi="Calibri" w:cs="Calibri"/>
          <w:sz w:val="20"/>
          <w:szCs w:val="20"/>
        </w:rPr>
        <w:t xml:space="preserve">charakteru se pokládají projekční práce ve stupni </w:t>
      </w:r>
      <w:r w:rsidR="0064119A" w:rsidRPr="00F673E8">
        <w:rPr>
          <w:rFonts w:ascii="Calibri" w:hAnsi="Calibri" w:cs="Calibri"/>
          <w:sz w:val="20"/>
          <w:szCs w:val="20"/>
        </w:rPr>
        <w:t xml:space="preserve">projekt, tj. </w:t>
      </w:r>
      <w:r w:rsidR="00245FDB" w:rsidRPr="00F673E8">
        <w:rPr>
          <w:rFonts w:ascii="Calibri" w:hAnsi="Calibri" w:cs="Calibri"/>
          <w:sz w:val="20"/>
          <w:szCs w:val="20"/>
        </w:rPr>
        <w:t>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F673E8">
        <w:rPr>
          <w:rFonts w:ascii="Calibri" w:hAnsi="Calibri" w:cs="Calibri"/>
          <w:sz w:val="20"/>
          <w:szCs w:val="20"/>
        </w:rPr>
        <w:t>tři</w:t>
      </w:r>
      <w:r w:rsidR="0098685B" w:rsidRPr="002B5A73">
        <w:rPr>
          <w:rFonts w:ascii="Calibri" w:hAnsi="Calibri" w:cs="Calibri"/>
          <w:sz w:val="20"/>
          <w:szCs w:val="20"/>
        </w:rPr>
        <w:t xml:space="preserve"> služby 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w:t>
      </w:r>
      <w:r w:rsidR="0024569F">
        <w:rPr>
          <w:rFonts w:ascii="Calibri" w:hAnsi="Calibri" w:cs="Calibri"/>
          <w:sz w:val="20"/>
          <w:szCs w:val="20"/>
        </w:rPr>
        <w:t>,</w:t>
      </w:r>
      <w:r w:rsidR="00FB267E" w:rsidRPr="002B5A73">
        <w:rPr>
          <w:rFonts w:ascii="Calibri" w:hAnsi="Calibri" w:cs="Calibri"/>
          <w:sz w:val="20"/>
          <w:szCs w:val="20"/>
        </w:rPr>
        <w:t xml:space="preserve"> </w:t>
      </w:r>
      <w:r w:rsidR="00FB267E" w:rsidRPr="00D379AD">
        <w:rPr>
          <w:rFonts w:ascii="Calibri" w:hAnsi="Calibri" w:cs="Calibri"/>
          <w:sz w:val="20"/>
          <w:szCs w:val="20"/>
        </w:rPr>
        <w:t>modernizaci</w:t>
      </w:r>
      <w:r w:rsidR="002D403C" w:rsidRPr="00D379AD">
        <w:rPr>
          <w:rFonts w:ascii="Calibri" w:hAnsi="Calibri" w:cs="Calibri"/>
          <w:sz w:val="20"/>
          <w:szCs w:val="20"/>
        </w:rPr>
        <w:t xml:space="preserve"> </w:t>
      </w:r>
      <w:r w:rsidR="0024569F">
        <w:rPr>
          <w:rFonts w:ascii="Calibri" w:hAnsi="Calibri" w:cs="Calibri"/>
          <w:sz w:val="20"/>
          <w:szCs w:val="20"/>
        </w:rPr>
        <w:t xml:space="preserve">nebo optimalizaci </w:t>
      </w:r>
      <w:r w:rsidR="0097622A" w:rsidRPr="00310B73">
        <w:rPr>
          <w:rFonts w:ascii="Calibri" w:hAnsi="Calibri" w:cs="Calibri"/>
          <w:sz w:val="20"/>
          <w:szCs w:val="20"/>
        </w:rPr>
        <w:t>železniční</w:t>
      </w:r>
      <w:r w:rsidR="00070E1F" w:rsidRPr="00310B73">
        <w:rPr>
          <w:rFonts w:ascii="Calibri" w:hAnsi="Calibri" w:cs="Calibri"/>
          <w:sz w:val="20"/>
          <w:szCs w:val="20"/>
        </w:rPr>
        <w:t xml:space="preserve"> trat</w:t>
      </w:r>
      <w:r w:rsidR="0056144A" w:rsidRPr="00310B73">
        <w:rPr>
          <w:rFonts w:ascii="Calibri" w:hAnsi="Calibri" w:cs="Calibri"/>
          <w:sz w:val="20"/>
          <w:szCs w:val="20"/>
        </w:rPr>
        <w:t>ě</w:t>
      </w:r>
      <w:r w:rsidR="00D379AD" w:rsidRPr="00310B73">
        <w:rPr>
          <w:rFonts w:ascii="Calibri" w:hAnsi="Calibri" w:cs="Calibri"/>
          <w:color w:val="FF0000"/>
          <w:sz w:val="20"/>
          <w:szCs w:val="20"/>
        </w:rPr>
        <w:t xml:space="preserve"> </w:t>
      </w:r>
      <w:r w:rsidR="002D403C" w:rsidRPr="00310B73">
        <w:rPr>
          <w:rFonts w:ascii="Calibri" w:hAnsi="Calibri" w:cs="Calibri"/>
          <w:sz w:val="20"/>
          <w:szCs w:val="20"/>
        </w:rPr>
        <w:t>ve</w:t>
      </w:r>
      <w:r w:rsidR="002D403C" w:rsidRPr="00D379AD">
        <w:rPr>
          <w:rFonts w:ascii="Calibri" w:hAnsi="Calibri" w:cs="Calibri"/>
          <w:sz w:val="20"/>
          <w:szCs w:val="20"/>
        </w:rPr>
        <w:t xml:space="preserve"> stupni projekt</w:t>
      </w:r>
      <w:r w:rsidR="00E55949">
        <w:rPr>
          <w:rFonts w:ascii="Calibri" w:hAnsi="Calibri" w:cs="Calibri"/>
          <w:sz w:val="20"/>
          <w:szCs w:val="20"/>
        </w:rPr>
        <w:t xml:space="preserve"> (P)</w:t>
      </w:r>
      <w:r w:rsidR="00C035B7" w:rsidRPr="00D379AD">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744D24" w:rsidRPr="00744D24">
        <w:rPr>
          <w:rFonts w:ascii="Calibri" w:hAnsi="Calibri" w:cs="Calibri"/>
          <w:b/>
          <w:sz w:val="20"/>
          <w:szCs w:val="20"/>
          <w:lang w:val="en-US"/>
        </w:rPr>
        <w:t>1</w:t>
      </w:r>
      <w:r w:rsidR="00744D24">
        <w:rPr>
          <w:rFonts w:ascii="Calibri" w:hAnsi="Calibri" w:cs="Calibri"/>
          <w:b/>
          <w:sz w:val="20"/>
          <w:szCs w:val="20"/>
          <w:lang w:val="en-US"/>
        </w:rPr>
        <w:t>8</w:t>
      </w:r>
      <w:r w:rsidR="00744D24" w:rsidRPr="00744D24">
        <w:rPr>
          <w:rFonts w:ascii="Calibri" w:hAnsi="Calibri" w:cs="Calibri"/>
          <w:b/>
          <w:sz w:val="20"/>
          <w:szCs w:val="20"/>
          <w:lang w:val="en-US"/>
        </w:rPr>
        <w:t xml:space="preserve"> mil. </w:t>
      </w:r>
      <w:r w:rsidR="0027629F" w:rsidRPr="00744D24">
        <w:rPr>
          <w:rFonts w:ascii="Calibri" w:hAnsi="Calibri" w:cs="Calibri"/>
          <w:b/>
          <w:sz w:val="20"/>
          <w:szCs w:val="20"/>
        </w:rPr>
        <w:t>Kč</w:t>
      </w:r>
      <w:r w:rsidR="0027629F" w:rsidRPr="00D340E7">
        <w:rPr>
          <w:rFonts w:ascii="Calibri" w:hAnsi="Calibri" w:cs="Calibri"/>
          <w:sz w:val="20"/>
          <w:szCs w:val="20"/>
        </w:rPr>
        <w:t xml:space="preserve">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w:t>
      </w:r>
      <w:r w:rsidR="00744D24">
        <w:rPr>
          <w:rFonts w:ascii="Calibri" w:hAnsi="Calibri" w:cs="Calibri"/>
          <w:sz w:val="20"/>
          <w:szCs w:val="20"/>
        </w:rPr>
        <w:t xml:space="preserve"> </w:t>
      </w:r>
      <w:r w:rsidR="00744D24" w:rsidRPr="00744D24">
        <w:rPr>
          <w:rFonts w:ascii="Calibri" w:hAnsi="Calibri" w:cs="Calibri"/>
          <w:b/>
          <w:sz w:val="20"/>
          <w:szCs w:val="20"/>
        </w:rPr>
        <w:t>9 mil.</w:t>
      </w:r>
      <w:r w:rsidR="005737ED" w:rsidRPr="00744D24">
        <w:rPr>
          <w:rFonts w:ascii="Calibri" w:hAnsi="Calibri" w:cs="Calibri"/>
          <w:b/>
          <w:bCs/>
          <w:sz w:val="20"/>
          <w:szCs w:val="20"/>
        </w:rPr>
        <w:t xml:space="preserve"> </w:t>
      </w:r>
      <w:r w:rsidR="00FE5CFB" w:rsidRPr="00744D24">
        <w:rPr>
          <w:rFonts w:ascii="Calibri" w:hAnsi="Calibri" w:cs="Calibri"/>
          <w:b/>
          <w:sz w:val="20"/>
          <w:szCs w:val="20"/>
        </w:rPr>
        <w:t>Kč</w:t>
      </w:r>
      <w:r w:rsidR="00FE5CFB" w:rsidRPr="00D340E7">
        <w:rPr>
          <w:rFonts w:ascii="Calibri" w:hAnsi="Calibri" w:cs="Calibri"/>
          <w:sz w:val="20"/>
          <w:szCs w:val="20"/>
        </w:rPr>
        <w:t xml:space="preserve">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F7320" w:rsidRPr="00794E6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 xml:space="preserve">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w:t>
      </w:r>
      <w:r w:rsidRPr="00794E62">
        <w:rPr>
          <w:rFonts w:ascii="Calibri" w:hAnsi="Calibri" w:cs="Calibri"/>
          <w:sz w:val="20"/>
          <w:szCs w:val="20"/>
        </w:rPr>
        <w:lastRenderedPageBreak/>
        <w:t>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5140F" w:rsidRDefault="002567AF" w:rsidP="00F24A21">
      <w:pPr>
        <w:numPr>
          <w:ilvl w:val="0"/>
          <w:numId w:val="16"/>
        </w:numPr>
        <w:spacing w:before="60"/>
        <w:ind w:left="1843" w:hanging="425"/>
        <w:jc w:val="both"/>
        <w:rPr>
          <w:rFonts w:ascii="Calibri" w:hAnsi="Calibri" w:cs="Calibri"/>
          <w:b/>
          <w:bCs/>
          <w:sz w:val="20"/>
          <w:szCs w:val="20"/>
        </w:rPr>
      </w:pPr>
      <w:r w:rsidRPr="00D5140F">
        <w:rPr>
          <w:rFonts w:ascii="Calibri" w:hAnsi="Calibri" w:cs="Calibri"/>
          <w:b/>
          <w:bCs/>
          <w:sz w:val="20"/>
          <w:szCs w:val="20"/>
        </w:rPr>
        <w:t>v</w:t>
      </w:r>
      <w:r w:rsidR="00B574F0" w:rsidRPr="00D5140F">
        <w:rPr>
          <w:rFonts w:ascii="Calibri" w:hAnsi="Calibri" w:cs="Calibri"/>
          <w:b/>
          <w:bCs/>
          <w:sz w:val="20"/>
          <w:szCs w:val="20"/>
        </w:rPr>
        <w:t xml:space="preserve">edoucí týmu </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vysokoškolské vzdělání v</w:t>
      </w:r>
      <w:r w:rsidR="00332195">
        <w:rPr>
          <w:rFonts w:ascii="Calibri" w:hAnsi="Calibri" w:cs="Calibri"/>
          <w:sz w:val="20"/>
          <w:szCs w:val="20"/>
        </w:rPr>
        <w:t> </w:t>
      </w:r>
      <w:r w:rsidRPr="00D5140F">
        <w:rPr>
          <w:rFonts w:ascii="Calibri" w:hAnsi="Calibri" w:cs="Calibri"/>
          <w:sz w:val="20"/>
          <w:szCs w:val="20"/>
        </w:rPr>
        <w:t>oboru</w:t>
      </w:r>
      <w:r w:rsidR="00332195">
        <w:rPr>
          <w:rFonts w:ascii="Calibri" w:hAnsi="Calibri" w:cs="Calibri"/>
          <w:sz w:val="20"/>
          <w:szCs w:val="20"/>
        </w:rPr>
        <w:t xml:space="preserve"> </w:t>
      </w:r>
      <w:r w:rsidR="00310B73">
        <w:rPr>
          <w:rFonts w:ascii="Calibri" w:hAnsi="Calibri" w:cs="Calibri"/>
          <w:sz w:val="20"/>
          <w:szCs w:val="20"/>
        </w:rPr>
        <w:t>dopravní stavby</w:t>
      </w:r>
      <w:r w:rsidRPr="00D5140F">
        <w:rPr>
          <w:rFonts w:ascii="Calibri" w:hAnsi="Calibri" w:cs="Calibri"/>
          <w:sz w:val="20"/>
          <w:szCs w:val="20"/>
        </w:rPr>
        <w:t xml:space="preserve">;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w:t>
      </w:r>
      <w:r w:rsidR="00BA2127" w:rsidRPr="00D5140F">
        <w:rPr>
          <w:rFonts w:ascii="Calibri" w:hAnsi="Calibri" w:cs="Calibri"/>
          <w:sz w:val="20"/>
          <w:szCs w:val="20"/>
        </w:rPr>
        <w:t>projektování obdobných zakázek;</w:t>
      </w:r>
      <w:r w:rsidRPr="00D5140F">
        <w:rPr>
          <w:rFonts w:ascii="Calibri" w:hAnsi="Calibri" w:cs="Calibri"/>
          <w:sz w:val="20"/>
          <w:szCs w:val="20"/>
        </w:rPr>
        <w:t xml:space="preserve">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b) zák. č. 360/1992 Sb., tedy pro dopravní stavby; prokázat zkušenosti: alespoň dvě obdobné z</w:t>
      </w:r>
      <w:r w:rsidR="00BA2127" w:rsidRPr="00D5140F">
        <w:rPr>
          <w:rFonts w:ascii="Calibri" w:hAnsi="Calibri" w:cs="Calibri"/>
          <w:sz w:val="20"/>
          <w:szCs w:val="20"/>
        </w:rPr>
        <w:t>akázky ve funkci vedoucího týmu</w:t>
      </w:r>
      <w:r w:rsidRPr="00D5140F">
        <w:rPr>
          <w:rFonts w:ascii="Calibri" w:hAnsi="Calibri" w:cs="Calibri"/>
          <w:sz w:val="20"/>
          <w:szCs w:val="20"/>
        </w:rPr>
        <w:t>;</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železniční svršek a spodek</w:t>
      </w:r>
    </w:p>
    <w:p w:rsidR="00B574F0" w:rsidRPr="00D5140F" w:rsidRDefault="00B574F0" w:rsidP="00F24A21">
      <w:pPr>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v oboru dopravní stavby;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xml:space="preserve">. § 5 odst. 3 písm. b) zák. č. 360/1992 Sb., tedy pro dopravní stavby; </w:t>
      </w:r>
    </w:p>
    <w:p w:rsidR="00B574F0" w:rsidRPr="00D5140F" w:rsidRDefault="00B574F0" w:rsidP="00F24A21">
      <w:pPr>
        <w:numPr>
          <w:ilvl w:val="0"/>
          <w:numId w:val="16"/>
        </w:numPr>
        <w:spacing w:before="60"/>
        <w:ind w:left="1843" w:hanging="425"/>
        <w:jc w:val="both"/>
        <w:rPr>
          <w:rFonts w:ascii="Calibri" w:hAnsi="Calibri" w:cs="Calibri"/>
          <w:sz w:val="20"/>
          <w:szCs w:val="20"/>
        </w:rPr>
      </w:pPr>
      <w:r w:rsidRPr="00D5140F">
        <w:rPr>
          <w:rFonts w:ascii="Calibri" w:hAnsi="Calibri" w:cs="Calibri"/>
          <w:b/>
          <w:bCs/>
          <w:sz w:val="20"/>
          <w:szCs w:val="20"/>
        </w:rPr>
        <w:t>specialista na mostní a inženýrské konstrukce</w:t>
      </w:r>
    </w:p>
    <w:p w:rsidR="00B574F0" w:rsidRPr="00D5140F" w:rsidRDefault="00B574F0" w:rsidP="00F24A21">
      <w:pPr>
        <w:pStyle w:val="Odstavecseseznamem"/>
        <w:numPr>
          <w:ilvl w:val="0"/>
          <w:numId w:val="17"/>
        </w:numPr>
        <w:spacing w:before="60"/>
        <w:ind w:left="1843" w:hanging="425"/>
        <w:jc w:val="both"/>
        <w:rPr>
          <w:rFonts w:ascii="Calibri" w:hAnsi="Calibri" w:cs="Calibri"/>
          <w:sz w:val="20"/>
          <w:szCs w:val="20"/>
        </w:rPr>
      </w:pPr>
      <w:r w:rsidRPr="00D5140F">
        <w:rPr>
          <w:rFonts w:ascii="Calibri" w:hAnsi="Calibri" w:cs="Calibri"/>
          <w:sz w:val="20"/>
          <w:szCs w:val="20"/>
        </w:rPr>
        <w:t xml:space="preserve">vysokoškolské vzdělání stavební; nejméně </w:t>
      </w:r>
      <w:r w:rsidR="00BA2127" w:rsidRPr="00D5140F">
        <w:rPr>
          <w:rFonts w:ascii="Calibri" w:hAnsi="Calibri" w:cs="Calibri"/>
          <w:sz w:val="20"/>
          <w:szCs w:val="20"/>
        </w:rPr>
        <w:t>5</w:t>
      </w:r>
      <w:r w:rsidRPr="00D5140F">
        <w:rPr>
          <w:rFonts w:ascii="Calibri" w:hAnsi="Calibri" w:cs="Calibri"/>
          <w:sz w:val="20"/>
          <w:szCs w:val="20"/>
        </w:rPr>
        <w:t xml:space="preserve"> let praxe ve svém oboru v projektování obdobných zakázek; autorizace v rozsahu dle </w:t>
      </w:r>
      <w:proofErr w:type="spellStart"/>
      <w:r w:rsidRPr="00D5140F">
        <w:rPr>
          <w:rFonts w:ascii="Calibri" w:hAnsi="Calibri" w:cs="Calibri"/>
          <w:sz w:val="20"/>
          <w:szCs w:val="20"/>
        </w:rPr>
        <w:t>ust</w:t>
      </w:r>
      <w:proofErr w:type="spellEnd"/>
      <w:r w:rsidRPr="00D5140F">
        <w:rPr>
          <w:rFonts w:ascii="Calibri" w:hAnsi="Calibri" w:cs="Calibri"/>
          <w:sz w:val="20"/>
          <w:szCs w:val="20"/>
        </w:rPr>
        <w:t>. § 5 odst. 3 písm. d) a g) zák. č. 360/1992 Sb., tedy v oboru mosty a inženýrské konstrukce a statika a dynamik</w:t>
      </w:r>
      <w:r w:rsidR="00001DA1" w:rsidRPr="00D5140F">
        <w:rPr>
          <w:rFonts w:ascii="Calibri" w:hAnsi="Calibri" w:cs="Calibri"/>
          <w:sz w:val="20"/>
          <w:szCs w:val="20"/>
        </w:rPr>
        <w:t>a</w:t>
      </w:r>
      <w:r w:rsidRPr="00D5140F">
        <w:rPr>
          <w:rFonts w:ascii="Calibri" w:hAnsi="Calibri" w:cs="Calibri"/>
          <w:sz w:val="20"/>
          <w:szCs w:val="20"/>
        </w:rPr>
        <w:t xml:space="preserve"> staveb; </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zabezpečovací</w:t>
      </w:r>
      <w:r w:rsidR="00106D2B">
        <w:rPr>
          <w:rFonts w:ascii="Calibri" w:hAnsi="Calibri" w:cs="Calibri"/>
          <w:b/>
          <w:bCs/>
          <w:sz w:val="20"/>
          <w:szCs w:val="20"/>
        </w:rPr>
        <w:t xml:space="preserve"> a sdělovací zařízení</w:t>
      </w:r>
    </w:p>
    <w:p w:rsidR="00A27240" w:rsidRPr="0087737D" w:rsidRDefault="00B574F0" w:rsidP="00064B46">
      <w:pPr>
        <w:pStyle w:val="Odstavecseseznamem"/>
        <w:spacing w:before="60"/>
        <w:ind w:left="1843"/>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87737D" w:rsidRDefault="00B574F0" w:rsidP="00F24A21">
      <w:pPr>
        <w:numPr>
          <w:ilvl w:val="0"/>
          <w:numId w:val="16"/>
        </w:numPr>
        <w:spacing w:before="60"/>
        <w:ind w:left="1843" w:hanging="425"/>
        <w:jc w:val="both"/>
        <w:rPr>
          <w:rFonts w:ascii="Calibri" w:hAnsi="Calibri" w:cs="Calibri"/>
          <w:sz w:val="20"/>
          <w:szCs w:val="20"/>
        </w:rPr>
      </w:pPr>
      <w:r w:rsidRPr="0087737D">
        <w:rPr>
          <w:rFonts w:ascii="Calibri" w:hAnsi="Calibri" w:cs="Calibri"/>
          <w:b/>
          <w:bCs/>
          <w:sz w:val="20"/>
          <w:szCs w:val="20"/>
        </w:rPr>
        <w:t>specialista na trakční vedení</w:t>
      </w:r>
    </w:p>
    <w:p w:rsidR="00231E19" w:rsidRPr="0087737D" w:rsidRDefault="00B574F0" w:rsidP="00F24A21">
      <w:pPr>
        <w:pStyle w:val="Odstavecseseznamem"/>
        <w:numPr>
          <w:ilvl w:val="0"/>
          <w:numId w:val="17"/>
        </w:numPr>
        <w:spacing w:before="60"/>
        <w:ind w:left="1985" w:hanging="567"/>
        <w:jc w:val="both"/>
        <w:rPr>
          <w:rFonts w:ascii="Calibri" w:hAnsi="Calibri" w:cs="Calibri"/>
          <w:sz w:val="20"/>
          <w:szCs w:val="20"/>
        </w:rPr>
      </w:pPr>
      <w:r w:rsidRPr="0087737D">
        <w:rPr>
          <w:rFonts w:ascii="Calibri" w:hAnsi="Calibri" w:cs="Calibri"/>
          <w:sz w:val="20"/>
          <w:szCs w:val="20"/>
        </w:rPr>
        <w:t xml:space="preserve">vysokoškolské vzdělání; nejméně </w:t>
      </w:r>
      <w:r w:rsidR="005D66FB" w:rsidRPr="0087737D">
        <w:rPr>
          <w:rFonts w:ascii="Calibri" w:hAnsi="Calibri" w:cs="Calibri"/>
          <w:sz w:val="20"/>
          <w:szCs w:val="20"/>
        </w:rPr>
        <w:t>5</w:t>
      </w:r>
      <w:r w:rsidRPr="0087737D">
        <w:rPr>
          <w:rFonts w:ascii="Calibri" w:hAnsi="Calibri" w:cs="Calibri"/>
          <w:sz w:val="20"/>
          <w:szCs w:val="20"/>
        </w:rPr>
        <w:t xml:space="preserve"> let praxe ve svém oboru v projektování obdobných zakázek; autorizace v rozsahu dle </w:t>
      </w:r>
      <w:proofErr w:type="spellStart"/>
      <w:r w:rsidRPr="0087737D">
        <w:rPr>
          <w:rFonts w:ascii="Calibri" w:hAnsi="Calibri" w:cs="Calibri"/>
          <w:sz w:val="20"/>
          <w:szCs w:val="20"/>
        </w:rPr>
        <w:t>ust</w:t>
      </w:r>
      <w:proofErr w:type="spellEnd"/>
      <w:r w:rsidRPr="0087737D">
        <w:rPr>
          <w:rFonts w:ascii="Calibri" w:hAnsi="Calibri" w:cs="Calibri"/>
          <w:sz w:val="20"/>
          <w:szCs w:val="20"/>
        </w:rPr>
        <w:t xml:space="preserve">. § 5 odst. 3 písm. e) zák. č. 360/1992 Sb., tedy v oboru technologická zařízení staveb; </w:t>
      </w:r>
    </w:p>
    <w:p w:rsidR="00B574F0" w:rsidRPr="00313FA0" w:rsidRDefault="00B574F0" w:rsidP="00F24A21">
      <w:pPr>
        <w:numPr>
          <w:ilvl w:val="0"/>
          <w:numId w:val="16"/>
        </w:numPr>
        <w:spacing w:before="60"/>
        <w:ind w:left="1843" w:hanging="425"/>
        <w:jc w:val="both"/>
        <w:rPr>
          <w:rFonts w:ascii="Calibri" w:hAnsi="Calibri" w:cs="Calibri"/>
          <w:sz w:val="20"/>
          <w:szCs w:val="20"/>
        </w:rPr>
      </w:pPr>
      <w:r w:rsidRPr="00313FA0">
        <w:rPr>
          <w:rFonts w:ascii="Calibri" w:hAnsi="Calibri" w:cs="Calibri"/>
          <w:b/>
          <w:bCs/>
          <w:sz w:val="20"/>
          <w:szCs w:val="20"/>
        </w:rPr>
        <w:t>specialista na silnoproudou technologii</w:t>
      </w:r>
    </w:p>
    <w:p w:rsid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313FA0">
        <w:rPr>
          <w:rFonts w:ascii="Calibri" w:hAnsi="Calibri" w:cs="Calibri"/>
          <w:sz w:val="20"/>
          <w:szCs w:val="20"/>
        </w:rPr>
        <w:t>vysokoškolské vzdělání;</w:t>
      </w:r>
      <w:r w:rsidR="00736659" w:rsidRPr="00313FA0">
        <w:rPr>
          <w:rFonts w:ascii="Calibri" w:hAnsi="Calibri" w:cs="Calibri"/>
          <w:sz w:val="20"/>
          <w:szCs w:val="20"/>
        </w:rPr>
        <w:t xml:space="preserve"> </w:t>
      </w:r>
      <w:r w:rsidRPr="00313FA0">
        <w:rPr>
          <w:rFonts w:ascii="Calibri" w:hAnsi="Calibri" w:cs="Calibri"/>
          <w:sz w:val="20"/>
          <w:szCs w:val="20"/>
        </w:rPr>
        <w:t xml:space="preserve"> nejméně </w:t>
      </w:r>
      <w:r w:rsidR="005D66FB" w:rsidRPr="00313FA0">
        <w:rPr>
          <w:rFonts w:ascii="Calibri" w:hAnsi="Calibri" w:cs="Calibri"/>
          <w:sz w:val="20"/>
          <w:szCs w:val="20"/>
        </w:rPr>
        <w:t>5</w:t>
      </w:r>
      <w:r w:rsidRPr="00313FA0">
        <w:rPr>
          <w:rFonts w:ascii="Calibri" w:hAnsi="Calibri" w:cs="Calibri"/>
          <w:sz w:val="20"/>
          <w:szCs w:val="20"/>
        </w:rPr>
        <w:t xml:space="preserve"> let praxe ve svém oboru v projektování obdobných zakázek; autorizace v rozsahu dle </w:t>
      </w:r>
      <w:proofErr w:type="spellStart"/>
      <w:r w:rsidRPr="00313FA0">
        <w:rPr>
          <w:rFonts w:ascii="Calibri" w:hAnsi="Calibri" w:cs="Calibri"/>
          <w:sz w:val="20"/>
          <w:szCs w:val="20"/>
        </w:rPr>
        <w:t>ust</w:t>
      </w:r>
      <w:proofErr w:type="spellEnd"/>
      <w:r w:rsidRPr="00313FA0">
        <w:rPr>
          <w:rFonts w:ascii="Calibri" w:hAnsi="Calibri" w:cs="Calibri"/>
          <w:sz w:val="20"/>
          <w:szCs w:val="20"/>
        </w:rPr>
        <w:t xml:space="preserve">. § 5 odst. 3 písm. e) zák. č. 360/1992 Sb., tedy v oboru technologická zařízení staveb; </w:t>
      </w:r>
    </w:p>
    <w:p w:rsidR="00B574F0" w:rsidRPr="00712C2E" w:rsidRDefault="00B574F0" w:rsidP="00F24A21">
      <w:pPr>
        <w:numPr>
          <w:ilvl w:val="0"/>
          <w:numId w:val="16"/>
        </w:numPr>
        <w:spacing w:before="60"/>
        <w:ind w:left="1843" w:hanging="425"/>
        <w:jc w:val="both"/>
        <w:rPr>
          <w:rFonts w:ascii="Calibri" w:hAnsi="Calibri" w:cs="Calibri"/>
          <w:sz w:val="20"/>
          <w:szCs w:val="20"/>
        </w:rPr>
      </w:pPr>
      <w:r w:rsidRPr="00712C2E">
        <w:rPr>
          <w:rFonts w:ascii="Calibri" w:hAnsi="Calibri" w:cs="Calibri"/>
          <w:b/>
          <w:bCs/>
          <w:sz w:val="20"/>
          <w:szCs w:val="20"/>
        </w:rPr>
        <w:t>specialista na životní prostředí</w:t>
      </w:r>
    </w:p>
    <w:p w:rsidR="001E0280" w:rsidRPr="00712C2E" w:rsidRDefault="00B574F0"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t xml:space="preserve">vysokoškolské vzdělání; nejméně 5 let praxe ve svém oboru v projektování obdobných zakázek; </w:t>
      </w:r>
      <w:r w:rsidR="001E0280" w:rsidRPr="00712C2E">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12C2E" w:rsidRDefault="00787B71" w:rsidP="00F24A21">
      <w:pPr>
        <w:numPr>
          <w:ilvl w:val="0"/>
          <w:numId w:val="16"/>
        </w:numPr>
        <w:spacing w:before="60"/>
        <w:ind w:left="1843" w:hanging="425"/>
        <w:jc w:val="both"/>
        <w:rPr>
          <w:rFonts w:ascii="Calibri" w:hAnsi="Calibri" w:cs="Calibri"/>
          <w:b/>
          <w:bCs/>
          <w:sz w:val="20"/>
          <w:szCs w:val="20"/>
        </w:rPr>
      </w:pPr>
      <w:r w:rsidRPr="00712C2E">
        <w:rPr>
          <w:rFonts w:ascii="Calibri" w:hAnsi="Calibri" w:cs="Calibri"/>
          <w:b/>
          <w:bCs/>
          <w:sz w:val="20"/>
          <w:szCs w:val="20"/>
        </w:rPr>
        <w:t>úřed</w:t>
      </w:r>
      <w:r w:rsidR="00F823BC" w:rsidRPr="00712C2E">
        <w:rPr>
          <w:rFonts w:ascii="Calibri" w:hAnsi="Calibri" w:cs="Calibri"/>
          <w:b/>
          <w:bCs/>
          <w:sz w:val="20"/>
          <w:szCs w:val="20"/>
        </w:rPr>
        <w:t>n</w:t>
      </w:r>
      <w:r w:rsidRPr="00712C2E">
        <w:rPr>
          <w:rFonts w:ascii="Calibri" w:hAnsi="Calibri" w:cs="Calibri"/>
          <w:b/>
          <w:bCs/>
          <w:sz w:val="20"/>
          <w:szCs w:val="20"/>
        </w:rPr>
        <w:t>ě oprávněný zeměměřický inženýr</w:t>
      </w:r>
    </w:p>
    <w:p w:rsidR="006C5CE3" w:rsidRPr="00712C2E" w:rsidRDefault="006C5CE3" w:rsidP="00F24A21">
      <w:pPr>
        <w:pStyle w:val="Odstavecseseznamem"/>
        <w:numPr>
          <w:ilvl w:val="0"/>
          <w:numId w:val="17"/>
        </w:numPr>
        <w:spacing w:before="60"/>
        <w:ind w:left="1985" w:hanging="567"/>
        <w:jc w:val="both"/>
        <w:rPr>
          <w:rFonts w:ascii="Calibri" w:hAnsi="Calibri" w:cs="Calibri"/>
          <w:sz w:val="20"/>
          <w:szCs w:val="20"/>
        </w:rPr>
      </w:pPr>
      <w:r w:rsidRPr="00712C2E">
        <w:rPr>
          <w:rFonts w:ascii="Calibri" w:hAnsi="Calibri" w:cs="Calibri"/>
          <w:sz w:val="20"/>
          <w:szCs w:val="20"/>
        </w:rPr>
        <w:lastRenderedPageBreak/>
        <w:t xml:space="preserve">vysokoškolské vzdělání zeměměřického směru; nejméně 5 let praxe ve svém oboru; úřední oprávnění pro ověřování </w:t>
      </w:r>
      <w:r w:rsidRPr="00712C2E">
        <w:rPr>
          <w:rFonts w:asciiTheme="minorHAnsi" w:hAnsiTheme="minorHAnsi" w:cs="Arial"/>
          <w:sz w:val="20"/>
          <w:szCs w:val="20"/>
        </w:rPr>
        <w:t xml:space="preserve">výsledků zeměměřických činností v rozsahu dle </w:t>
      </w:r>
      <w:proofErr w:type="spellStart"/>
      <w:r w:rsidRPr="00712C2E">
        <w:rPr>
          <w:rFonts w:asciiTheme="minorHAnsi" w:hAnsiTheme="minorHAnsi" w:cs="Arial"/>
          <w:sz w:val="20"/>
          <w:szCs w:val="20"/>
        </w:rPr>
        <w:t>ust</w:t>
      </w:r>
      <w:proofErr w:type="spellEnd"/>
      <w:r w:rsidRPr="00712C2E">
        <w:rPr>
          <w:rFonts w:asciiTheme="minorHAnsi" w:hAnsiTheme="minorHAnsi" w:cs="Arial"/>
          <w:sz w:val="20"/>
          <w:szCs w:val="20"/>
        </w:rPr>
        <w:t xml:space="preserve">. § 13 odst. 1 písm. </w:t>
      </w:r>
      <w:r w:rsidR="002E3DB8" w:rsidRPr="00712C2E">
        <w:rPr>
          <w:rFonts w:asciiTheme="minorHAnsi" w:hAnsiTheme="minorHAnsi" w:cs="Arial"/>
          <w:sz w:val="20"/>
          <w:szCs w:val="20"/>
        </w:rPr>
        <w:t>a) a c</w:t>
      </w:r>
      <w:r w:rsidR="001C506A" w:rsidRPr="00712C2E">
        <w:rPr>
          <w:rFonts w:asciiTheme="minorHAnsi" w:hAnsiTheme="minorHAnsi" w:cs="Arial"/>
          <w:sz w:val="20"/>
          <w:szCs w:val="20"/>
        </w:rPr>
        <w:t>)</w:t>
      </w:r>
      <w:r w:rsidR="002E3DB8" w:rsidRPr="00712C2E">
        <w:rPr>
          <w:rFonts w:ascii="Calibri" w:hAnsi="Calibri" w:cs="Calibri"/>
          <w:sz w:val="20"/>
          <w:szCs w:val="20"/>
          <w:lang w:val="en-US"/>
        </w:rPr>
        <w:t xml:space="preserve"> </w:t>
      </w:r>
      <w:r w:rsidRPr="00712C2E">
        <w:rPr>
          <w:rFonts w:asciiTheme="minorHAnsi" w:hAnsiTheme="minorHAnsi" w:cs="Arial"/>
          <w:sz w:val="20"/>
          <w:szCs w:val="20"/>
        </w:rPr>
        <w:t>zákona č. 200/1994 Sb., o zeměměřictví a o změně a doplnění některých zákonů souvisejících s jeho zavedením, ve znění pozdějších předpisů;</w:t>
      </w:r>
      <w:r w:rsidRPr="00712C2E">
        <w:rPr>
          <w:rFonts w:ascii="Calibri" w:hAnsi="Calibri" w:cs="Calibri"/>
          <w:sz w:val="20"/>
          <w:szCs w:val="20"/>
        </w:rPr>
        <w:t xml:space="preserve"> </w:t>
      </w:r>
    </w:p>
    <w:p w:rsidR="002E3DB8" w:rsidRPr="002B0DD8" w:rsidRDefault="002E3DB8" w:rsidP="00F24A21">
      <w:pPr>
        <w:numPr>
          <w:ilvl w:val="0"/>
          <w:numId w:val="16"/>
        </w:numPr>
        <w:spacing w:before="60"/>
        <w:ind w:left="1843" w:hanging="425"/>
        <w:jc w:val="both"/>
        <w:rPr>
          <w:rFonts w:ascii="Calibri" w:hAnsi="Calibri" w:cs="Calibri"/>
          <w:sz w:val="20"/>
          <w:szCs w:val="20"/>
        </w:rPr>
      </w:pPr>
      <w:r w:rsidRPr="002B0DD8">
        <w:rPr>
          <w:rFonts w:ascii="Calibri" w:hAnsi="Calibri" w:cs="Calibri"/>
          <w:b/>
          <w:bCs/>
          <w:sz w:val="20"/>
          <w:szCs w:val="20"/>
        </w:rPr>
        <w:t xml:space="preserve">geotechnik </w:t>
      </w:r>
    </w:p>
    <w:p w:rsidR="002E3DB8" w:rsidRPr="002B0DD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2B0DD8">
        <w:rPr>
          <w:rFonts w:ascii="Calibri" w:hAnsi="Calibri" w:cs="Calibri"/>
          <w:sz w:val="20"/>
          <w:szCs w:val="20"/>
        </w:rPr>
        <w:t xml:space="preserve">vysokoškolské vzdělání; nejméně 5 let praxe ve svém oboru v projektování obdobných zakázek; autorizace v rozsahu dle </w:t>
      </w:r>
      <w:proofErr w:type="spellStart"/>
      <w:r w:rsidRPr="002B0DD8">
        <w:rPr>
          <w:rFonts w:ascii="Calibri" w:hAnsi="Calibri" w:cs="Calibri"/>
          <w:sz w:val="20"/>
          <w:szCs w:val="20"/>
        </w:rPr>
        <w:t>ust</w:t>
      </w:r>
      <w:proofErr w:type="spellEnd"/>
      <w:r w:rsidRPr="002B0DD8">
        <w:rPr>
          <w:rFonts w:ascii="Calibri" w:hAnsi="Calibri" w:cs="Calibri"/>
          <w:sz w:val="20"/>
          <w:szCs w:val="20"/>
        </w:rPr>
        <w:t>. § 5 odst. 3 písm. i) zák. č. 360/1992 Sb., tedy v oboru geotechnika;</w:t>
      </w:r>
    </w:p>
    <w:p w:rsidR="00635DD6" w:rsidRPr="00794E62" w:rsidRDefault="00635DD6" w:rsidP="00635DD6">
      <w:pPr>
        <w:numPr>
          <w:ilvl w:val="0"/>
          <w:numId w:val="16"/>
        </w:numPr>
        <w:spacing w:before="60"/>
        <w:ind w:left="1843" w:hanging="425"/>
        <w:jc w:val="both"/>
        <w:rPr>
          <w:rFonts w:ascii="Calibri" w:hAnsi="Calibri" w:cs="Calibri"/>
          <w:b/>
          <w:bCs/>
          <w:sz w:val="20"/>
          <w:szCs w:val="20"/>
        </w:rPr>
      </w:pPr>
      <w:r w:rsidRPr="00794E62">
        <w:rPr>
          <w:rFonts w:ascii="Calibri" w:hAnsi="Calibri" w:cs="Calibri"/>
          <w:b/>
          <w:bCs/>
          <w:sz w:val="20"/>
          <w:szCs w:val="20"/>
        </w:rPr>
        <w:t xml:space="preserve">koordinátor BOZP </w:t>
      </w:r>
    </w:p>
    <w:p w:rsidR="00635DD6" w:rsidRPr="00794E62" w:rsidRDefault="00635DD6" w:rsidP="00635DD6">
      <w:pPr>
        <w:pStyle w:val="Odstavecseseznamem"/>
        <w:numPr>
          <w:ilvl w:val="0"/>
          <w:numId w:val="17"/>
        </w:numPr>
        <w:spacing w:before="60"/>
        <w:ind w:left="1985" w:hanging="567"/>
        <w:jc w:val="both"/>
        <w:rPr>
          <w:rFonts w:ascii="Calibri" w:hAnsi="Calibri" w:cs="Calibri"/>
          <w:sz w:val="20"/>
          <w:szCs w:val="20"/>
        </w:rPr>
      </w:pPr>
      <w:r w:rsidRPr="00794E62">
        <w:rPr>
          <w:rFonts w:ascii="Calibri" w:hAnsi="Calibri" w:cs="Calibri"/>
          <w:bCs/>
          <w:sz w:val="20"/>
          <w:szCs w:val="20"/>
        </w:rPr>
        <w:t>středoškolské vzdělání technického zaměření nebo vysokoškolské vzdělání; nejméně 3 roky praxe ve svém oboru; 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lastRenderedPageBreak/>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ve znění pozdějších předpisů: uvedená činnost je v České republice regulovanou činností a při uznávání odborné kvalifikace zahraničních osob se postupuje podle zákona č. 309/2006 Sb., ve znění pozdějších předpisů a podle zákona </w:t>
      </w:r>
      <w:r w:rsidRPr="00794E62">
        <w:rPr>
          <w:rFonts w:ascii="Calibri" w:hAnsi="Calibri" w:cs="Calibri"/>
          <w:sz w:val="20"/>
          <w:szCs w:val="20"/>
        </w:rPr>
        <w:lastRenderedPageBreak/>
        <w:t>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79787204"/>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zejména jako společnost ve smyslu ustanovení § 2716 a násl. zákona č. 89/2012 Sb., 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8"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Základní kvalifikační předpoklady upravené v § 53 </w:t>
      </w:r>
      <w:proofErr w:type="gramStart"/>
      <w:r w:rsidRPr="00794E62">
        <w:rPr>
          <w:rFonts w:ascii="Calibri" w:hAnsi="Calibri" w:cs="Calibri"/>
          <w:sz w:val="20"/>
          <w:szCs w:val="20"/>
        </w:rPr>
        <w:t>odst.1 ZVZ</w:t>
      </w:r>
      <w:proofErr w:type="gramEnd"/>
      <w:r w:rsidRPr="00794E62">
        <w:rPr>
          <w:rFonts w:ascii="Calibri" w:hAnsi="Calibri" w:cs="Calibri"/>
          <w:sz w:val="20"/>
          <w:szCs w:val="20"/>
        </w:rPr>
        <w:t xml:space="preserve">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29" w:name="_Ref310353058"/>
      <w:r w:rsidRPr="00794E62">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2E523D" w:rsidRPr="00DE0A69" w:rsidRDefault="002E523D"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9B716E" w:rsidRPr="00794E62">
        <w:rPr>
          <w:rFonts w:ascii="Calibri" w:hAnsi="Calibri" w:cs="Calibri"/>
          <w:sz w:val="20"/>
          <w:szCs w:val="20"/>
        </w:rPr>
        <w:t>8</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1" w:name="_Toc379787205"/>
      <w:r w:rsidRPr="00DE0A69">
        <w:rPr>
          <w:rFonts w:ascii="Calibri" w:hAnsi="Calibri" w:cs="Calibri"/>
          <w:kern w:val="28"/>
          <w:sz w:val="24"/>
          <w:szCs w:val="24"/>
          <w:lang w:val="cs-CZ"/>
        </w:rPr>
        <w:lastRenderedPageBreak/>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1"/>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2" w:name="_Ref310242329"/>
      <w:bookmarkStart w:id="33" w:name="_Toc379787206"/>
      <w:r w:rsidRPr="00DE0A69">
        <w:rPr>
          <w:rFonts w:ascii="Calibri" w:hAnsi="Calibri" w:cs="Calibri"/>
          <w:kern w:val="28"/>
          <w:sz w:val="24"/>
          <w:szCs w:val="24"/>
          <w:lang w:val="cs-CZ"/>
        </w:rPr>
        <w:t>JAZYK NABÍDEK</w:t>
      </w:r>
      <w:bookmarkEnd w:id="32"/>
      <w:bookmarkEnd w:id="33"/>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4"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4"/>
    </w:p>
    <w:p w:rsidR="00B574F0" w:rsidRDefault="00B574F0"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5" w:name="_Ref310246729"/>
      <w:bookmarkStart w:id="36" w:name="_Toc379787207"/>
      <w:r w:rsidRPr="00DE0A69">
        <w:rPr>
          <w:rFonts w:ascii="Calibri" w:hAnsi="Calibri" w:cs="Calibri"/>
          <w:kern w:val="28"/>
          <w:sz w:val="24"/>
          <w:szCs w:val="24"/>
          <w:lang w:val="cs-CZ"/>
        </w:rPr>
        <w:t>OBSAH A PODÁVÁNÍ NABÍDEK</w:t>
      </w:r>
      <w:bookmarkEnd w:id="35"/>
      <w:bookmarkEnd w:id="36"/>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744D24" w:rsidRPr="00857038" w:rsidRDefault="00744D24" w:rsidP="00744D24">
      <w:pPr>
        <w:spacing w:before="120"/>
        <w:ind w:left="1440" w:hanging="22"/>
        <w:rPr>
          <w:rFonts w:ascii="Calibri" w:hAnsi="Calibri" w:cs="Calibri"/>
          <w:sz w:val="20"/>
          <w:szCs w:val="20"/>
        </w:rPr>
      </w:pPr>
      <w:r w:rsidRPr="00857038">
        <w:rPr>
          <w:rFonts w:ascii="Calibri" w:hAnsi="Calibri" w:cs="Calibri"/>
          <w:sz w:val="20"/>
          <w:szCs w:val="20"/>
        </w:rPr>
        <w:t>Správa železniční dopravní cesty, státní organizace, Stavební správa západ, adresa Sokolovská 278/1955, 190 00 Praha 9, podatelna č. dveří 414, v pracovních dnech v době od 7.30 do 11.30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7" w:name="_Ref131226724"/>
      <w:bookmarkStart w:id="38"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590550" w:rsidRPr="002E40FA" w:rsidRDefault="00590550" w:rsidP="00590550">
      <w:pPr>
        <w:ind w:left="36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7"/>
      <w:bookmarkEnd w:id="38"/>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39" w:name="_Toc191791439"/>
      <w:bookmarkStart w:id="40" w:name="_Toc191791505"/>
      <w:bookmarkEnd w:id="39"/>
      <w:bookmarkEnd w:id="40"/>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167BE8" w:rsidRDefault="00167BE8" w:rsidP="00314C7D">
      <w:pPr>
        <w:ind w:left="709"/>
        <w:jc w:val="both"/>
        <w:rPr>
          <w:rFonts w:ascii="Calibri" w:hAnsi="Calibri" w:cs="Calibri"/>
          <w:sz w:val="20"/>
          <w:szCs w:val="20"/>
        </w:rPr>
      </w:pPr>
    </w:p>
    <w:p w:rsidR="004954B3" w:rsidRDefault="004954B3" w:rsidP="00314C7D">
      <w:pPr>
        <w:ind w:left="709"/>
        <w:jc w:val="both"/>
        <w:rPr>
          <w:rFonts w:ascii="Calibri" w:hAnsi="Calibri" w:cs="Calibri"/>
          <w:sz w:val="20"/>
          <w:szCs w:val="20"/>
        </w:rPr>
      </w:pPr>
    </w:p>
    <w:p w:rsidR="004954B3" w:rsidRPr="00794E62" w:rsidRDefault="004954B3"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379787208"/>
      <w:r w:rsidRPr="00CF6468">
        <w:rPr>
          <w:rFonts w:ascii="Calibri" w:hAnsi="Calibri" w:cs="Calibri"/>
          <w:kern w:val="28"/>
          <w:sz w:val="24"/>
          <w:szCs w:val="24"/>
          <w:lang w:val="cs-CZ"/>
        </w:rPr>
        <w:lastRenderedPageBreak/>
        <w:t>POŽADAVKY NA ZPRACOVÁNÍ NABÍDKOVÉ CENY</w:t>
      </w:r>
      <w:bookmarkEnd w:id="41"/>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2"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2"/>
    <w:p w:rsidR="00B574F0" w:rsidRPr="00DE0A69" w:rsidRDefault="00B574F0"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379787209"/>
      <w:r w:rsidRPr="00CF6468">
        <w:rPr>
          <w:rFonts w:ascii="Calibri" w:hAnsi="Calibri" w:cs="Calibri"/>
          <w:kern w:val="28"/>
          <w:sz w:val="24"/>
          <w:szCs w:val="24"/>
          <w:lang w:val="cs-CZ"/>
        </w:rPr>
        <w:t>DOBA PLATNOSTI NABÍDEK - ZADÁVACÍ LHŮTA</w:t>
      </w:r>
      <w:bookmarkEnd w:id="43"/>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Ref315346983"/>
      <w:bookmarkStart w:id="45" w:name="_Toc379787210"/>
      <w:r w:rsidRPr="00CF6468">
        <w:rPr>
          <w:rFonts w:ascii="Calibri" w:hAnsi="Calibri" w:cs="Calibri"/>
          <w:kern w:val="28"/>
          <w:sz w:val="24"/>
          <w:szCs w:val="24"/>
          <w:lang w:val="cs-CZ"/>
        </w:rPr>
        <w:t>JISTOTA</w:t>
      </w:r>
      <w:bookmarkEnd w:id="44"/>
      <w:bookmarkEnd w:id="45"/>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744D24" w:rsidRPr="00AF15E4" w:rsidRDefault="00744D24" w:rsidP="00744D24">
      <w:pPr>
        <w:pStyle w:val="Odstavecseseznamem"/>
        <w:numPr>
          <w:ilvl w:val="1"/>
          <w:numId w:val="30"/>
        </w:numPr>
        <w:ind w:left="1418" w:hanging="709"/>
        <w:jc w:val="both"/>
        <w:rPr>
          <w:rFonts w:ascii="Calibri" w:hAnsi="Calibri" w:cs="Calibri"/>
          <w:sz w:val="20"/>
          <w:szCs w:val="20"/>
        </w:rPr>
      </w:pPr>
      <w:r w:rsidRPr="00AF15E4">
        <w:rPr>
          <w:rFonts w:ascii="Calibri" w:hAnsi="Calibri" w:cs="Calibri"/>
          <w:sz w:val="20"/>
          <w:szCs w:val="20"/>
        </w:rPr>
        <w:t xml:space="preserve">Zadavatel </w:t>
      </w:r>
      <w:r w:rsidRPr="00AF15E4">
        <w:rPr>
          <w:rFonts w:ascii="Calibri" w:hAnsi="Calibri" w:cs="Calibri"/>
          <w:b/>
          <w:sz w:val="20"/>
          <w:szCs w:val="20"/>
        </w:rPr>
        <w:t>nepožaduje</w:t>
      </w:r>
      <w:r w:rsidRPr="00AF15E4">
        <w:rPr>
          <w:rFonts w:ascii="Calibri" w:hAnsi="Calibri" w:cs="Calibri"/>
          <w:sz w:val="20"/>
          <w:szCs w:val="20"/>
        </w:rPr>
        <w:t xml:space="preserve">, aby uchazeči poskytli jistotu za nabídku. </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6" w:name="_Toc379787211"/>
      <w:r w:rsidRPr="00CF6468">
        <w:rPr>
          <w:rFonts w:ascii="Calibri" w:hAnsi="Calibri" w:cs="Calibri"/>
          <w:kern w:val="28"/>
          <w:sz w:val="24"/>
          <w:szCs w:val="24"/>
          <w:lang w:val="cs-CZ"/>
        </w:rPr>
        <w:t>VARIANTY NABÍDKY</w:t>
      </w:r>
      <w:bookmarkEnd w:id="4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79787212"/>
      <w:r w:rsidRPr="00CF6468">
        <w:rPr>
          <w:rFonts w:ascii="Calibri" w:hAnsi="Calibri" w:cs="Calibri"/>
          <w:kern w:val="28"/>
          <w:sz w:val="24"/>
          <w:szCs w:val="24"/>
          <w:lang w:val="cs-CZ"/>
        </w:rPr>
        <w:t>ZPRACOVÁNÍ A PODPIS NABÍDEK</w:t>
      </w:r>
      <w:bookmarkEnd w:id="47"/>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w:t>
      </w:r>
      <w:r w:rsidRPr="00DE0A69">
        <w:rPr>
          <w:rFonts w:ascii="Calibri" w:hAnsi="Calibri" w:cs="Calibri"/>
          <w:sz w:val="20"/>
          <w:szCs w:val="20"/>
        </w:rPr>
        <w:lastRenderedPageBreak/>
        <w:t xml:space="preserve">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4954B3" w:rsidRDefault="004954B3" w:rsidP="004954B3">
      <w:pPr>
        <w:pStyle w:val="Odstavecseseznamem"/>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79787213"/>
      <w:r w:rsidRPr="00CF6468">
        <w:rPr>
          <w:rFonts w:ascii="Calibri" w:hAnsi="Calibri" w:cs="Calibri"/>
          <w:kern w:val="28"/>
          <w:sz w:val="24"/>
          <w:szCs w:val="24"/>
          <w:lang w:val="cs-CZ"/>
        </w:rPr>
        <w:t>OTEVÍRÁNÍ OBÁLEK S NABÍDKAMI</w:t>
      </w:r>
      <w:bookmarkEnd w:id="48"/>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79787214"/>
      <w:r w:rsidRPr="00CF6468">
        <w:rPr>
          <w:rFonts w:ascii="Calibri" w:hAnsi="Calibri" w:cs="Calibri"/>
          <w:kern w:val="28"/>
          <w:sz w:val="24"/>
          <w:szCs w:val="24"/>
          <w:lang w:val="cs-CZ"/>
        </w:rPr>
        <w:t>DŮVĚRNOST ZADÁVACÍHO ŘÍZENÍ</w:t>
      </w:r>
      <w:bookmarkEnd w:id="49"/>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79787215"/>
      <w:r w:rsidRPr="00CF6468">
        <w:rPr>
          <w:rFonts w:ascii="Calibri" w:hAnsi="Calibri" w:cs="Calibri"/>
          <w:kern w:val="28"/>
          <w:sz w:val="24"/>
          <w:szCs w:val="24"/>
          <w:lang w:val="cs-CZ"/>
        </w:rPr>
        <w:t>POSOUZENÍ NABÍDEK</w:t>
      </w:r>
      <w:bookmarkEnd w:id="50"/>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79787216"/>
      <w:r w:rsidRPr="00CF6468">
        <w:rPr>
          <w:rFonts w:ascii="Calibri" w:hAnsi="Calibri" w:cs="Calibri"/>
          <w:kern w:val="28"/>
          <w:sz w:val="24"/>
          <w:szCs w:val="24"/>
          <w:lang w:val="cs-CZ"/>
        </w:rPr>
        <w:lastRenderedPageBreak/>
        <w:t>KRITÉRIA PRO HODNOCENÍ NABÍDEK</w:t>
      </w:r>
      <w:bookmarkEnd w:id="51"/>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79787217"/>
      <w:r w:rsidRPr="00CF6468">
        <w:rPr>
          <w:rFonts w:ascii="Calibri" w:hAnsi="Calibri" w:cs="Calibri"/>
          <w:kern w:val="28"/>
          <w:sz w:val="24"/>
          <w:szCs w:val="24"/>
          <w:lang w:val="cs-CZ"/>
        </w:rPr>
        <w:t>ZRUŠENÍ ZADÁVACÍHO ŘÍZENÍ</w:t>
      </w:r>
      <w:bookmarkEnd w:id="52"/>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79787218"/>
      <w:r w:rsidRPr="00CF6468">
        <w:rPr>
          <w:rFonts w:ascii="Calibri" w:hAnsi="Calibri" w:cs="Calibri"/>
          <w:kern w:val="28"/>
          <w:sz w:val="24"/>
          <w:szCs w:val="24"/>
          <w:lang w:val="cs-CZ"/>
        </w:rPr>
        <w:t>UZAVŘENÍ SMLOUVY</w:t>
      </w:r>
      <w:bookmarkEnd w:id="53"/>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79787219"/>
      <w:r w:rsidRPr="00CF6468">
        <w:rPr>
          <w:rFonts w:ascii="Calibri" w:hAnsi="Calibri" w:cs="Calibri"/>
          <w:kern w:val="28"/>
          <w:sz w:val="24"/>
          <w:szCs w:val="24"/>
          <w:lang w:val="cs-CZ"/>
        </w:rPr>
        <w:t>PŘÍLOHY TĚCHTO POKYNŮ</w:t>
      </w:r>
      <w:bookmarkEnd w:id="54"/>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6F4E0B">
            <w:pPr>
              <w:jc w:val="center"/>
              <w:rPr>
                <w:rFonts w:ascii="Calibri" w:hAnsi="Calibri" w:cs="Calibri"/>
                <w:b/>
                <w:bCs/>
                <w:sz w:val="20"/>
                <w:szCs w:val="20"/>
              </w:rPr>
            </w:pPr>
            <w:r w:rsidRPr="00C719B1">
              <w:rPr>
                <w:rFonts w:ascii="Calibri" w:hAnsi="Calibri" w:cs="Calibri"/>
                <w:b/>
                <w:bCs/>
                <w:sz w:val="20"/>
                <w:szCs w:val="20"/>
              </w:rPr>
              <w:t xml:space="preserve">Ing. </w:t>
            </w:r>
            <w:r w:rsidR="006F4E0B">
              <w:rPr>
                <w:rFonts w:ascii="Calibri" w:hAnsi="Calibri" w:cs="Calibri"/>
                <w:b/>
                <w:bCs/>
                <w:sz w:val="20"/>
                <w:szCs w:val="20"/>
              </w:rPr>
              <w:t>Lubor Hrubeš</w:t>
            </w:r>
          </w:p>
        </w:tc>
      </w:tr>
      <w:tr w:rsidR="00F249E1" w:rsidRPr="007F3290" w:rsidTr="00707A34">
        <w:tc>
          <w:tcPr>
            <w:tcW w:w="9288" w:type="dxa"/>
          </w:tcPr>
          <w:p w:rsidR="00F249E1" w:rsidRPr="00E33752" w:rsidRDefault="006F4E0B" w:rsidP="00DD4C21">
            <w:pPr>
              <w:jc w:val="center"/>
              <w:rPr>
                <w:rFonts w:ascii="Calibri" w:hAnsi="Calibri" w:cs="Calibri"/>
                <w:b/>
                <w:bCs/>
                <w:sz w:val="20"/>
                <w:szCs w:val="20"/>
              </w:rPr>
            </w:pPr>
            <w:r>
              <w:rPr>
                <w:rFonts w:ascii="Calibri" w:hAnsi="Calibri" w:cs="Calibri"/>
                <w:b/>
                <w:bCs/>
                <w:sz w:val="20"/>
                <w:szCs w:val="20"/>
              </w:rPr>
              <w:t>Ředitel Stavební správy západ</w:t>
            </w:r>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646CAD" w:rsidP="00CF6468">
      <w:pPr>
        <w:rPr>
          <w:rFonts w:ascii="Calibri" w:hAnsi="Calibri" w:cs="Calibri"/>
          <w:b/>
          <w:bCs/>
          <w:sz w:val="22"/>
          <w:szCs w:val="22"/>
        </w:rPr>
      </w:pPr>
      <w:bookmarkStart w:id="55" w:name="_GoBack"/>
      <w:bookmarkEnd w:id="55"/>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5"/>
        <w:gridCol w:w="2268"/>
        <w:gridCol w:w="4820"/>
        <w:gridCol w:w="2268"/>
        <w:gridCol w:w="38"/>
      </w:tblGrid>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gridSpan w:val="2"/>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gridSpan w:val="2"/>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w:t>
            </w:r>
            <w:proofErr w:type="gramStart"/>
            <w:r w:rsidRPr="00794E62">
              <w:rPr>
                <w:rFonts w:ascii="Calibri" w:hAnsi="Calibri" w:cs="Calibri"/>
                <w:sz w:val="18"/>
                <w:szCs w:val="18"/>
              </w:rPr>
              <w:t>dle  smlouvy</w:t>
            </w:r>
            <w:proofErr w:type="gramEnd"/>
            <w:r w:rsidRPr="00794E62">
              <w:rPr>
                <w:rFonts w:ascii="Calibri" w:hAnsi="Calibri" w:cs="Calibri"/>
                <w:sz w:val="18"/>
                <w:szCs w:val="18"/>
              </w:rPr>
              <w:t xml:space="preserve">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F673E8">
        <w:trPr>
          <w:cantSplit/>
        </w:trPr>
        <w:tc>
          <w:tcPr>
            <w:tcW w:w="1857" w:type="dxa"/>
            <w:tcBorders>
              <w:top w:val="single" w:sz="12" w:space="0" w:color="auto"/>
              <w:left w:val="single" w:sz="12" w:space="0" w:color="auto"/>
            </w:tcBorders>
            <w:vAlign w:val="center"/>
          </w:tcPr>
          <w:p w:rsidR="00D34D2B" w:rsidRPr="00300BBC" w:rsidRDefault="00D34D2B" w:rsidP="00F673E8">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F673E8">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F673E8">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F673E8">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F673E8">
            <w:pPr>
              <w:pStyle w:val="tabulka"/>
              <w:widowControl/>
              <w:rPr>
                <w:rFonts w:ascii="Calibri" w:hAnsi="Calibri" w:cs="Calibri"/>
              </w:rPr>
            </w:pPr>
            <w:r>
              <w:rPr>
                <w:rFonts w:ascii="Calibri" w:hAnsi="Calibri" w:cs="Calibri"/>
              </w:rPr>
              <w:t>Zkušenost z řídící pozice *</w:t>
            </w:r>
          </w:p>
          <w:p w:rsidR="00D34D2B" w:rsidRPr="00300BBC" w:rsidRDefault="00D34D2B" w:rsidP="00F673E8">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F673E8">
            <w:pPr>
              <w:pStyle w:val="tabulka"/>
              <w:widowControl/>
              <w:rPr>
                <w:rFonts w:ascii="Calibri" w:hAnsi="Calibri" w:cs="Calibri"/>
              </w:rPr>
            </w:pPr>
            <w:r>
              <w:rPr>
                <w:rFonts w:ascii="Calibri" w:hAnsi="Calibri" w:cs="Calibri"/>
              </w:rPr>
              <w:t>Uveďte, v jakém vztahu k dodavateli osoba je</w:t>
            </w:r>
          </w:p>
        </w:tc>
      </w:tr>
      <w:tr w:rsidR="00D34D2B" w:rsidRPr="00300BBC" w:rsidTr="00F673E8">
        <w:trPr>
          <w:cantSplit/>
          <w:trHeight w:val="334"/>
        </w:trPr>
        <w:tc>
          <w:tcPr>
            <w:tcW w:w="1857" w:type="dxa"/>
            <w:tcBorders>
              <w:left w:val="single" w:sz="12" w:space="0" w:color="auto"/>
              <w:right w:val="single" w:sz="6" w:space="0" w:color="auto"/>
            </w:tcBorders>
            <w:vAlign w:val="center"/>
          </w:tcPr>
          <w:p w:rsidR="00D34D2B" w:rsidRPr="00300BBC" w:rsidRDefault="00D34D2B" w:rsidP="00F673E8">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p>
        </w:tc>
        <w:tc>
          <w:tcPr>
            <w:tcW w:w="1080" w:type="dxa"/>
            <w:vAlign w:val="center"/>
          </w:tcPr>
          <w:p w:rsidR="00D34D2B" w:rsidRPr="00300BBC" w:rsidRDefault="00D34D2B" w:rsidP="00F673E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p>
        </w:tc>
      </w:tr>
      <w:tr w:rsidR="00D34D2B" w:rsidRPr="00300BBC" w:rsidTr="00F673E8">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F673E8">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F673E8">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673E8">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FF1DE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D125E5">
      <w:pPr>
        <w:autoSpaceDE w:val="0"/>
        <w:autoSpaceDN w:val="0"/>
        <w:adjustRightInd w:val="0"/>
        <w:spacing w:after="120"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D125E5">
      <w:pPr>
        <w:autoSpaceDE w:val="0"/>
        <w:autoSpaceDN w:val="0"/>
        <w:adjustRightInd w:val="0"/>
        <w:spacing w:after="120"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7F74E3"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5FF" w:rsidRDefault="000C15FF">
      <w:r>
        <w:separator/>
      </w:r>
    </w:p>
  </w:endnote>
  <w:endnote w:type="continuationSeparator" w:id="0">
    <w:p w:rsidR="000C15FF" w:rsidRDefault="000C1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13B" w:rsidRDefault="003C013B"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3C013B" w:rsidRDefault="003C013B"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3C013B" w:rsidRDefault="003C013B"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3C013B" w:rsidRDefault="003C013B" w:rsidP="0080493B">
    <w:pPr>
      <w:pStyle w:val="Zpat"/>
      <w:tabs>
        <w:tab w:val="clear" w:pos="4536"/>
        <w:tab w:val="clear" w:pos="9072"/>
        <w:tab w:val="center" w:pos="4680"/>
        <w:tab w:val="right" w:pos="9360"/>
      </w:tabs>
      <w:jc w:val="right"/>
      <w:rPr>
        <w:rStyle w:val="slostrnky"/>
        <w:rFonts w:ascii="Arial" w:hAnsi="Arial" w:cs="Arial"/>
        <w:sz w:val="18"/>
        <w:szCs w:val="18"/>
      </w:rPr>
    </w:pPr>
  </w:p>
  <w:p w:rsidR="003C013B" w:rsidRDefault="003C013B"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4954B3">
      <w:rPr>
        <w:rStyle w:val="slostrnky"/>
        <w:rFonts w:ascii="Arial" w:hAnsi="Arial" w:cs="Arial"/>
        <w:noProof/>
        <w:sz w:val="18"/>
        <w:szCs w:val="18"/>
      </w:rPr>
      <w:t>31</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5FF" w:rsidRDefault="000C15FF">
      <w:r>
        <w:separator/>
      </w:r>
    </w:p>
  </w:footnote>
  <w:footnote w:type="continuationSeparator" w:id="0">
    <w:p w:rsidR="000C15FF" w:rsidRDefault="000C15FF">
      <w:r>
        <w:continuationSeparator/>
      </w:r>
    </w:p>
  </w:footnote>
  <w:footnote w:id="1">
    <w:p w:rsidR="003C013B" w:rsidRDefault="003C013B"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13B" w:rsidRDefault="003C013B"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3C013B" w:rsidRDefault="003C013B" w:rsidP="0004598B">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Calibri" w:hAnsi="Calibri" w:cs="Arial"/>
        <w:b/>
        <w:noProof/>
        <w:sz w:val="18"/>
        <w:szCs w:val="18"/>
      </w:rPr>
      <w:drawing>
        <wp:inline distT="0" distB="0" distL="0" distR="0" wp14:anchorId="60D7BC64" wp14:editId="4F6340BD">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roofErr w:type="spellStart"/>
    <w:r>
      <w:rPr>
        <w:rFonts w:asciiTheme="minorHAnsi" w:hAnsiTheme="minorHAnsi" w:cs="Arial"/>
        <w:b/>
        <w:bCs/>
        <w:sz w:val="18"/>
        <w:szCs w:val="18"/>
      </w:rPr>
      <w:t>Peronizace</w:t>
    </w:r>
    <w:proofErr w:type="spellEnd"/>
    <w:r>
      <w:rPr>
        <w:rFonts w:asciiTheme="minorHAnsi" w:hAnsiTheme="minorHAnsi" w:cs="Arial"/>
        <w:b/>
        <w:bCs/>
        <w:sz w:val="18"/>
        <w:szCs w:val="18"/>
      </w:rPr>
      <w:t xml:space="preserve"> ŽST Chodov</w:t>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p>
  <w:p w:rsidR="003C013B" w:rsidRPr="00044B4E" w:rsidRDefault="003C013B"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3C013B" w:rsidRPr="00044B4E" w:rsidRDefault="003C013B"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3C013B" w:rsidRDefault="003C013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1">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2">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4">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6">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9">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1">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2">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3">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4">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5">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7">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1">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8"/>
  </w:num>
  <w:num w:numId="3">
    <w:abstractNumId w:val="36"/>
  </w:num>
  <w:num w:numId="4">
    <w:abstractNumId w:val="29"/>
  </w:num>
  <w:num w:numId="5">
    <w:abstractNumId w:val="30"/>
  </w:num>
  <w:num w:numId="6">
    <w:abstractNumId w:val="0"/>
  </w:num>
  <w:num w:numId="7">
    <w:abstractNumId w:val="39"/>
  </w:num>
  <w:num w:numId="8">
    <w:abstractNumId w:val="15"/>
  </w:num>
  <w:num w:numId="9">
    <w:abstractNumId w:val="23"/>
  </w:num>
  <w:num w:numId="10">
    <w:abstractNumId w:val="38"/>
  </w:num>
  <w:num w:numId="11">
    <w:abstractNumId w:val="14"/>
  </w:num>
  <w:num w:numId="12">
    <w:abstractNumId w:val="13"/>
  </w:num>
  <w:num w:numId="13">
    <w:abstractNumId w:val="7"/>
  </w:num>
  <w:num w:numId="14">
    <w:abstractNumId w:val="6"/>
  </w:num>
  <w:num w:numId="15">
    <w:abstractNumId w:val="10"/>
  </w:num>
  <w:num w:numId="16">
    <w:abstractNumId w:val="41"/>
  </w:num>
  <w:num w:numId="17">
    <w:abstractNumId w:val="20"/>
  </w:num>
  <w:num w:numId="18">
    <w:abstractNumId w:val="18"/>
  </w:num>
  <w:num w:numId="19">
    <w:abstractNumId w:val="31"/>
  </w:num>
  <w:num w:numId="20">
    <w:abstractNumId w:val="25"/>
  </w:num>
  <w:num w:numId="21">
    <w:abstractNumId w:val="40"/>
  </w:num>
  <w:num w:numId="22">
    <w:abstractNumId w:val="17"/>
  </w:num>
  <w:num w:numId="23">
    <w:abstractNumId w:val="16"/>
  </w:num>
  <w:num w:numId="2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7"/>
  </w:num>
  <w:num w:numId="27">
    <w:abstractNumId w:val="37"/>
  </w:num>
  <w:num w:numId="28">
    <w:abstractNumId w:val="28"/>
  </w:num>
  <w:num w:numId="29">
    <w:abstractNumId w:val="33"/>
  </w:num>
  <w:num w:numId="30">
    <w:abstractNumId w:val="9"/>
  </w:num>
  <w:num w:numId="31">
    <w:abstractNumId w:val="19"/>
  </w:num>
  <w:num w:numId="32">
    <w:abstractNumId w:val="35"/>
  </w:num>
  <w:num w:numId="33">
    <w:abstractNumId w:val="21"/>
  </w:num>
  <w:num w:numId="34">
    <w:abstractNumId w:val="34"/>
  </w:num>
  <w:num w:numId="35">
    <w:abstractNumId w:val="24"/>
  </w:num>
  <w:num w:numId="36">
    <w:abstractNumId w:val="26"/>
  </w:num>
  <w:num w:numId="37">
    <w:abstractNumId w:val="11"/>
  </w:num>
  <w:num w:numId="38">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7E"/>
    <w:rsid w:val="000B31F3"/>
    <w:rsid w:val="000B33FE"/>
    <w:rsid w:val="000B5F79"/>
    <w:rsid w:val="000B6328"/>
    <w:rsid w:val="000B78BA"/>
    <w:rsid w:val="000C0144"/>
    <w:rsid w:val="000C058F"/>
    <w:rsid w:val="000C15F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6D2B"/>
    <w:rsid w:val="00107871"/>
    <w:rsid w:val="00107AE1"/>
    <w:rsid w:val="00114BD4"/>
    <w:rsid w:val="001159EC"/>
    <w:rsid w:val="00115E2F"/>
    <w:rsid w:val="00115ED5"/>
    <w:rsid w:val="00116292"/>
    <w:rsid w:val="00116716"/>
    <w:rsid w:val="00116A57"/>
    <w:rsid w:val="00116B0F"/>
    <w:rsid w:val="00117B45"/>
    <w:rsid w:val="00121711"/>
    <w:rsid w:val="001242EF"/>
    <w:rsid w:val="00124331"/>
    <w:rsid w:val="001243DF"/>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FDB"/>
    <w:rsid w:val="00251D9C"/>
    <w:rsid w:val="002521FA"/>
    <w:rsid w:val="002529B2"/>
    <w:rsid w:val="002537C6"/>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0B73"/>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0C36"/>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13B"/>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48DA"/>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54B3"/>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4E0B"/>
    <w:rsid w:val="006F5234"/>
    <w:rsid w:val="006F5CA0"/>
    <w:rsid w:val="00700297"/>
    <w:rsid w:val="007021A9"/>
    <w:rsid w:val="0070296B"/>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089E"/>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4D24"/>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44A6"/>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AC"/>
    <w:rsid w:val="008723D4"/>
    <w:rsid w:val="00872A6B"/>
    <w:rsid w:val="00872F92"/>
    <w:rsid w:val="00873D55"/>
    <w:rsid w:val="0087444A"/>
    <w:rsid w:val="00874B96"/>
    <w:rsid w:val="00875861"/>
    <w:rsid w:val="008758EA"/>
    <w:rsid w:val="00875AF1"/>
    <w:rsid w:val="00875DB4"/>
    <w:rsid w:val="0087737D"/>
    <w:rsid w:val="00877A1B"/>
    <w:rsid w:val="00881221"/>
    <w:rsid w:val="00881FA0"/>
    <w:rsid w:val="008828AC"/>
    <w:rsid w:val="0088433E"/>
    <w:rsid w:val="00884A24"/>
    <w:rsid w:val="00886595"/>
    <w:rsid w:val="008867B6"/>
    <w:rsid w:val="00887132"/>
    <w:rsid w:val="00887227"/>
    <w:rsid w:val="00887346"/>
    <w:rsid w:val="00891BE9"/>
    <w:rsid w:val="0089215E"/>
    <w:rsid w:val="00892735"/>
    <w:rsid w:val="008937F0"/>
    <w:rsid w:val="00895CE2"/>
    <w:rsid w:val="008978DD"/>
    <w:rsid w:val="008A05DF"/>
    <w:rsid w:val="008A0620"/>
    <w:rsid w:val="008A07A3"/>
    <w:rsid w:val="008A275A"/>
    <w:rsid w:val="008A3111"/>
    <w:rsid w:val="008A35C9"/>
    <w:rsid w:val="008A404D"/>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678C"/>
    <w:rsid w:val="00956ADE"/>
    <w:rsid w:val="00957BA1"/>
    <w:rsid w:val="009604F1"/>
    <w:rsid w:val="0096066E"/>
    <w:rsid w:val="009613FD"/>
    <w:rsid w:val="00963A3A"/>
    <w:rsid w:val="00963D6C"/>
    <w:rsid w:val="009643B6"/>
    <w:rsid w:val="00966856"/>
    <w:rsid w:val="00967990"/>
    <w:rsid w:val="00970735"/>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082B"/>
    <w:rsid w:val="009921C7"/>
    <w:rsid w:val="00992342"/>
    <w:rsid w:val="00992A29"/>
    <w:rsid w:val="00993506"/>
    <w:rsid w:val="00993799"/>
    <w:rsid w:val="009945C4"/>
    <w:rsid w:val="009949F7"/>
    <w:rsid w:val="009961F3"/>
    <w:rsid w:val="00997DA9"/>
    <w:rsid w:val="009A0AC3"/>
    <w:rsid w:val="009A242D"/>
    <w:rsid w:val="009A3142"/>
    <w:rsid w:val="009A32B3"/>
    <w:rsid w:val="009A333E"/>
    <w:rsid w:val="009A374D"/>
    <w:rsid w:val="009A45A4"/>
    <w:rsid w:val="009A4DFA"/>
    <w:rsid w:val="009A500A"/>
    <w:rsid w:val="009A613A"/>
    <w:rsid w:val="009A62A9"/>
    <w:rsid w:val="009B1741"/>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320"/>
    <w:rsid w:val="009F7B45"/>
    <w:rsid w:val="00A00245"/>
    <w:rsid w:val="00A0091C"/>
    <w:rsid w:val="00A00C58"/>
    <w:rsid w:val="00A00FD0"/>
    <w:rsid w:val="00A0180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7D3"/>
    <w:rsid w:val="00A30BE1"/>
    <w:rsid w:val="00A31A1A"/>
    <w:rsid w:val="00A32014"/>
    <w:rsid w:val="00A3273B"/>
    <w:rsid w:val="00A327A1"/>
    <w:rsid w:val="00A32C1C"/>
    <w:rsid w:val="00A32E54"/>
    <w:rsid w:val="00A3524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968"/>
    <w:rsid w:val="00AD6E79"/>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45E1"/>
    <w:rsid w:val="00B75C44"/>
    <w:rsid w:val="00B75DE9"/>
    <w:rsid w:val="00B75EDF"/>
    <w:rsid w:val="00B76791"/>
    <w:rsid w:val="00B8011F"/>
    <w:rsid w:val="00B809EA"/>
    <w:rsid w:val="00B842FF"/>
    <w:rsid w:val="00B85E85"/>
    <w:rsid w:val="00B869A4"/>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73B0"/>
    <w:rsid w:val="00D5771B"/>
    <w:rsid w:val="00D577A0"/>
    <w:rsid w:val="00D606CB"/>
    <w:rsid w:val="00D610D5"/>
    <w:rsid w:val="00D627C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20C"/>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DF72D6"/>
    <w:rsid w:val="00E008C2"/>
    <w:rsid w:val="00E01E85"/>
    <w:rsid w:val="00E024DD"/>
    <w:rsid w:val="00E02716"/>
    <w:rsid w:val="00E03229"/>
    <w:rsid w:val="00E035E9"/>
    <w:rsid w:val="00E03CF0"/>
    <w:rsid w:val="00E03E00"/>
    <w:rsid w:val="00E0481F"/>
    <w:rsid w:val="00E04D29"/>
    <w:rsid w:val="00E055D5"/>
    <w:rsid w:val="00E0695F"/>
    <w:rsid w:val="00E07D37"/>
    <w:rsid w:val="00E1063A"/>
    <w:rsid w:val="00E107F0"/>
    <w:rsid w:val="00E1122B"/>
    <w:rsid w:val="00E11FFB"/>
    <w:rsid w:val="00E131E1"/>
    <w:rsid w:val="00E139C2"/>
    <w:rsid w:val="00E13F69"/>
    <w:rsid w:val="00E159F7"/>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949"/>
    <w:rsid w:val="00E56100"/>
    <w:rsid w:val="00E56B4A"/>
    <w:rsid w:val="00E56DF1"/>
    <w:rsid w:val="00E57DF7"/>
    <w:rsid w:val="00E60B28"/>
    <w:rsid w:val="00E60C30"/>
    <w:rsid w:val="00E61302"/>
    <w:rsid w:val="00E622DE"/>
    <w:rsid w:val="00E6252F"/>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ED0"/>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3E8"/>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99"/>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omanpe@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0DBDD-D7BC-40DE-AA8E-1486617BA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10116</Words>
  <Characters>59687</Characters>
  <Application>Microsoft Office Word</Application>
  <DocSecurity>0</DocSecurity>
  <Lines>497</Lines>
  <Paragraphs>139</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69664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2014-06-17T09:39:00Z</dcterms:created>
  <dcterms:modified xsi:type="dcterms:W3CDTF">2014-06-25T11:03:00Z</dcterms:modified>
</cp:coreProperties>
</file>